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eastAsia="宋体" w:cs="宋体"/>
          <w:b/>
          <w:bCs/>
          <w:color w:val="000000"/>
          <w:kern w:val="0"/>
          <w:sz w:val="32"/>
          <w:szCs w:val="32"/>
        </w:rPr>
      </w:pPr>
      <w:r>
        <w:rPr>
          <w:rFonts w:hint="eastAsia" w:ascii="宋体" w:hAnsi="宋体" w:eastAsia="宋体" w:cs="宋体"/>
          <w:b/>
          <w:bCs/>
          <w:color w:val="000000"/>
          <w:kern w:val="0"/>
          <w:sz w:val="32"/>
          <w:szCs w:val="32"/>
        </w:rPr>
        <w:t>附件1:安徽师范大学2019年各单位教学科研岗位进人计划汇总表</w:t>
      </w:r>
    </w:p>
    <w:tbl>
      <w:tblPr>
        <w:tblStyle w:val="2"/>
        <w:tblW w:w="14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
      <w:tblGrid>
        <w:gridCol w:w="1643"/>
        <w:gridCol w:w="1853"/>
        <w:gridCol w:w="1490"/>
        <w:gridCol w:w="1618"/>
        <w:gridCol w:w="3682"/>
        <w:gridCol w:w="567"/>
        <w:gridCol w:w="709"/>
        <w:gridCol w:w="465"/>
        <w:gridCol w:w="2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431" w:hRule="atLeast"/>
          <w:tblHeader/>
          <w:jc w:val="center"/>
        </w:trPr>
        <w:tc>
          <w:tcPr>
            <w:tcW w:w="1643" w:type="dxa"/>
            <w:vMerge w:val="restart"/>
            <w:tcMar>
              <w:left w:w="28" w:type="dxa"/>
              <w:right w:w="28" w:type="dxa"/>
            </w:tcMar>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单位</w:t>
            </w:r>
          </w:p>
        </w:tc>
        <w:tc>
          <w:tcPr>
            <w:tcW w:w="1853" w:type="dxa"/>
            <w:vMerge w:val="restart"/>
            <w:tcMar>
              <w:left w:w="28" w:type="dxa"/>
              <w:right w:w="28" w:type="dxa"/>
            </w:tcMar>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招聘人员所属二级学科名称</w:t>
            </w:r>
          </w:p>
        </w:tc>
        <w:tc>
          <w:tcPr>
            <w:tcW w:w="1490" w:type="dxa"/>
            <w:vMerge w:val="restart"/>
            <w:tcMar>
              <w:left w:w="28" w:type="dxa"/>
              <w:right w:w="28" w:type="dxa"/>
            </w:tcMar>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归口我校本科专业名称</w:t>
            </w:r>
          </w:p>
        </w:tc>
        <w:tc>
          <w:tcPr>
            <w:tcW w:w="1618" w:type="dxa"/>
            <w:tcMar>
              <w:left w:w="28" w:type="dxa"/>
              <w:right w:w="28" w:type="dxa"/>
            </w:tcMar>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工作安排</w:t>
            </w:r>
          </w:p>
        </w:tc>
        <w:tc>
          <w:tcPr>
            <w:tcW w:w="3682" w:type="dxa"/>
            <w:vMerge w:val="restart"/>
            <w:tcMar>
              <w:left w:w="28" w:type="dxa"/>
              <w:right w:w="28" w:type="dxa"/>
            </w:tcMar>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学院有关要求</w:t>
            </w:r>
          </w:p>
        </w:tc>
        <w:tc>
          <w:tcPr>
            <w:tcW w:w="1741" w:type="dxa"/>
            <w:gridSpan w:val="3"/>
            <w:tcMar>
              <w:left w:w="28" w:type="dxa"/>
              <w:right w:w="28" w:type="dxa"/>
            </w:tcMar>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下达计划数</w:t>
            </w:r>
          </w:p>
        </w:tc>
        <w:tc>
          <w:tcPr>
            <w:tcW w:w="2657" w:type="dxa"/>
            <w:vMerge w:val="restart"/>
            <w:tcMar>
              <w:left w:w="28" w:type="dxa"/>
              <w:right w:w="28" w:type="dxa"/>
            </w:tcMar>
            <w:vAlign w:val="center"/>
          </w:tcPr>
          <w:p>
            <w:pPr>
              <w:widowControl/>
              <w:tabs>
                <w:tab w:val="left" w:pos="226"/>
              </w:tabs>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71" w:hRule="atLeast"/>
          <w:tblHeader/>
          <w:jc w:val="center"/>
        </w:trPr>
        <w:tc>
          <w:tcPr>
            <w:tcW w:w="1643" w:type="dxa"/>
            <w:vMerge w:val="continue"/>
            <w:tcMar>
              <w:left w:w="28" w:type="dxa"/>
              <w:right w:w="28" w:type="dxa"/>
            </w:tcMar>
            <w:vAlign w:val="center"/>
          </w:tcPr>
          <w:p>
            <w:pPr>
              <w:widowControl/>
              <w:jc w:val="left"/>
              <w:rPr>
                <w:rFonts w:ascii="宋体" w:hAnsi="宋体" w:eastAsia="宋体" w:cs="宋体"/>
                <w:b/>
                <w:bCs/>
                <w:color w:val="000000"/>
                <w:kern w:val="0"/>
                <w:sz w:val="24"/>
                <w:szCs w:val="24"/>
              </w:rPr>
            </w:pPr>
          </w:p>
        </w:tc>
        <w:tc>
          <w:tcPr>
            <w:tcW w:w="1853" w:type="dxa"/>
            <w:vMerge w:val="continue"/>
            <w:tcMar>
              <w:left w:w="28" w:type="dxa"/>
              <w:right w:w="28" w:type="dxa"/>
            </w:tcMar>
            <w:vAlign w:val="center"/>
          </w:tcPr>
          <w:p>
            <w:pPr>
              <w:widowControl/>
              <w:jc w:val="left"/>
              <w:rPr>
                <w:rFonts w:ascii="仿宋_GB2312" w:hAnsi="宋体" w:eastAsia="仿宋_GB2312" w:cs="宋体"/>
                <w:b/>
                <w:bCs/>
                <w:color w:val="000000"/>
                <w:kern w:val="0"/>
                <w:sz w:val="24"/>
                <w:szCs w:val="24"/>
              </w:rPr>
            </w:pPr>
          </w:p>
        </w:tc>
        <w:tc>
          <w:tcPr>
            <w:tcW w:w="1490" w:type="dxa"/>
            <w:vMerge w:val="continue"/>
            <w:tcMar>
              <w:left w:w="28" w:type="dxa"/>
              <w:right w:w="28" w:type="dxa"/>
            </w:tcMar>
            <w:vAlign w:val="center"/>
          </w:tcPr>
          <w:p>
            <w:pPr>
              <w:widowControl/>
              <w:jc w:val="left"/>
              <w:rPr>
                <w:rFonts w:ascii="仿宋_GB2312" w:hAnsi="宋体" w:eastAsia="仿宋_GB2312" w:cs="宋体"/>
                <w:b/>
                <w:bCs/>
                <w:color w:val="000000"/>
                <w:kern w:val="0"/>
                <w:sz w:val="24"/>
                <w:szCs w:val="24"/>
              </w:rPr>
            </w:pPr>
          </w:p>
        </w:tc>
        <w:tc>
          <w:tcPr>
            <w:tcW w:w="1618" w:type="dxa"/>
            <w:tcMar>
              <w:left w:w="28" w:type="dxa"/>
              <w:right w:w="28" w:type="dxa"/>
            </w:tcMar>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（拟授课程）</w:t>
            </w:r>
          </w:p>
        </w:tc>
        <w:tc>
          <w:tcPr>
            <w:tcW w:w="3682" w:type="dxa"/>
            <w:vMerge w:val="continue"/>
            <w:tcMar>
              <w:left w:w="28" w:type="dxa"/>
              <w:right w:w="28" w:type="dxa"/>
            </w:tcMar>
            <w:vAlign w:val="center"/>
          </w:tcPr>
          <w:p>
            <w:pPr>
              <w:widowControl/>
              <w:jc w:val="left"/>
              <w:rPr>
                <w:rFonts w:ascii="仿宋_GB2312" w:hAnsi="宋体" w:eastAsia="仿宋_GB2312" w:cs="宋体"/>
                <w:b/>
                <w:bCs/>
                <w:color w:val="000000"/>
                <w:kern w:val="0"/>
                <w:sz w:val="24"/>
                <w:szCs w:val="24"/>
              </w:rPr>
            </w:pPr>
          </w:p>
        </w:tc>
        <w:tc>
          <w:tcPr>
            <w:tcW w:w="567" w:type="dxa"/>
            <w:tcMar>
              <w:left w:w="28" w:type="dxa"/>
              <w:right w:w="28" w:type="dxa"/>
            </w:tcMar>
            <w:vAlign w:val="center"/>
          </w:tcPr>
          <w:p>
            <w:pPr>
              <w:widowControl/>
              <w:jc w:val="center"/>
              <w:rPr>
                <w:rFonts w:ascii="仿宋_GB2312" w:hAnsi="宋体" w:eastAsia="仿宋_GB2312" w:cs="宋体"/>
                <w:b/>
                <w:bCs/>
                <w:color w:val="000000"/>
                <w:kern w:val="0"/>
                <w:sz w:val="22"/>
              </w:rPr>
            </w:pPr>
            <w:r>
              <w:rPr>
                <w:rFonts w:hint="eastAsia" w:ascii="仿宋_GB2312" w:hAnsi="宋体" w:eastAsia="仿宋_GB2312" w:cs="宋体"/>
                <w:b/>
                <w:bCs/>
                <w:color w:val="000000"/>
                <w:kern w:val="0"/>
                <w:sz w:val="22"/>
              </w:rPr>
              <w:t>硕士以上</w:t>
            </w:r>
          </w:p>
        </w:tc>
        <w:tc>
          <w:tcPr>
            <w:tcW w:w="709" w:type="dxa"/>
            <w:tcMar>
              <w:left w:w="28" w:type="dxa"/>
              <w:right w:w="28" w:type="dxa"/>
            </w:tcMar>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博士</w:t>
            </w:r>
          </w:p>
        </w:tc>
        <w:tc>
          <w:tcPr>
            <w:tcW w:w="465" w:type="dxa"/>
            <w:tcMar>
              <w:left w:w="28" w:type="dxa"/>
              <w:right w:w="28" w:type="dxa"/>
            </w:tcMar>
            <w:vAlign w:val="center"/>
          </w:tcPr>
          <w:p>
            <w:pPr>
              <w:widowControl/>
              <w:jc w:val="left"/>
              <w:rPr>
                <w:rFonts w:hint="eastAsia" w:ascii="仿宋_GB2312" w:hAnsi="宋体" w:eastAsia="仿宋_GB2312" w:cs="宋体"/>
                <w:b/>
                <w:bCs/>
                <w:color w:val="000000"/>
                <w:kern w:val="0"/>
                <w:sz w:val="22"/>
              </w:rPr>
            </w:pPr>
            <w:r>
              <w:rPr>
                <w:rFonts w:hint="eastAsia" w:ascii="仿宋_GB2312" w:hAnsi="宋体" w:eastAsia="仿宋_GB2312" w:cs="宋体"/>
                <w:b/>
                <w:bCs/>
                <w:color w:val="000000"/>
                <w:kern w:val="0"/>
                <w:sz w:val="22"/>
              </w:rPr>
              <w:t>小计</w:t>
            </w:r>
          </w:p>
        </w:tc>
        <w:tc>
          <w:tcPr>
            <w:tcW w:w="2657" w:type="dxa"/>
            <w:vMerge w:val="continue"/>
            <w:tcMar>
              <w:left w:w="28" w:type="dxa"/>
              <w:right w:w="28" w:type="dxa"/>
            </w:tcMar>
            <w:vAlign w:val="center"/>
          </w:tcPr>
          <w:p>
            <w:pPr>
              <w:widowControl/>
              <w:jc w:val="left"/>
              <w:rPr>
                <w:rFonts w:ascii="宋体" w:hAnsi="宋体" w:eastAsia="宋体" w:cs="宋体"/>
                <w:b/>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780" w:hRule="atLeast"/>
          <w:jc w:val="center"/>
        </w:trPr>
        <w:tc>
          <w:tcPr>
            <w:tcW w:w="1643" w:type="dxa"/>
            <w:vMerge w:val="restart"/>
            <w:tcMar>
              <w:left w:w="28" w:type="dxa"/>
              <w:right w:w="28" w:type="dxa"/>
            </w:tcMar>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文学院</w:t>
            </w:r>
          </w:p>
        </w:tc>
        <w:tc>
          <w:tcPr>
            <w:tcW w:w="1853"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中国古代文学、中国现当代文学等</w:t>
            </w:r>
          </w:p>
        </w:tc>
        <w:tc>
          <w:tcPr>
            <w:tcW w:w="1490"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汉语言文学</w:t>
            </w:r>
          </w:p>
        </w:tc>
        <w:tc>
          <w:tcPr>
            <w:tcW w:w="1618"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中国古代文学课程、中国现代文学课程</w:t>
            </w:r>
          </w:p>
        </w:tc>
        <w:tc>
          <w:tcPr>
            <w:tcW w:w="3682" w:type="dxa"/>
            <w:tcMar>
              <w:left w:w="28" w:type="dxa"/>
              <w:right w:w="28" w:type="dxa"/>
            </w:tcMar>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中国古代文学、现当代文学</w:t>
            </w: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709"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w:t>
            </w:r>
          </w:p>
        </w:tc>
        <w:tc>
          <w:tcPr>
            <w:tcW w:w="465" w:type="dxa"/>
            <w:vMerge w:val="restart"/>
            <w:tcMar>
              <w:left w:w="28" w:type="dxa"/>
              <w:right w:w="28" w:type="dxa"/>
            </w:tcMar>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6</w:t>
            </w:r>
          </w:p>
        </w:tc>
        <w:tc>
          <w:tcPr>
            <w:tcW w:w="2657" w:type="dxa"/>
            <w:vMerge w:val="restart"/>
            <w:tcMar>
              <w:left w:w="28" w:type="dxa"/>
              <w:right w:w="28" w:type="dxa"/>
            </w:tcMar>
            <w:vAlign w:val="center"/>
          </w:tcPr>
          <w:p>
            <w:pPr>
              <w:widowControl/>
              <w:spacing w:line="300" w:lineRule="exact"/>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储老师：0553--5910501</w:t>
            </w:r>
          </w:p>
          <w:p>
            <w:pPr>
              <w:widowControl/>
              <w:spacing w:line="300" w:lineRule="exact"/>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邮箱：chutaisong@163.com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1215" w:hRule="atLeast"/>
          <w:jc w:val="center"/>
        </w:trPr>
        <w:tc>
          <w:tcPr>
            <w:tcW w:w="1643"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语言学及应用语言学、汉语言文字学、文艺学等</w:t>
            </w:r>
          </w:p>
        </w:tc>
        <w:tc>
          <w:tcPr>
            <w:tcW w:w="1490"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汉语言文学</w:t>
            </w:r>
          </w:p>
        </w:tc>
        <w:tc>
          <w:tcPr>
            <w:tcW w:w="1618"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现代汉语类课程、写作类课程、文艺理论类等</w:t>
            </w:r>
          </w:p>
        </w:tc>
        <w:tc>
          <w:tcPr>
            <w:tcW w:w="3682" w:type="dxa"/>
            <w:tcMar>
              <w:left w:w="28" w:type="dxa"/>
              <w:right w:w="28" w:type="dxa"/>
            </w:tcMar>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汉语言文字学（汉语语法方向）、写作学，西方文论专业优先</w:t>
            </w: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709"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w:t>
            </w: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921" w:hRule="atLeast"/>
          <w:jc w:val="center"/>
        </w:trPr>
        <w:tc>
          <w:tcPr>
            <w:tcW w:w="1643"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语言学及应用语言学、汉语言文字学等</w:t>
            </w:r>
          </w:p>
        </w:tc>
        <w:tc>
          <w:tcPr>
            <w:tcW w:w="1490"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汉语国际教育</w:t>
            </w:r>
          </w:p>
        </w:tc>
        <w:tc>
          <w:tcPr>
            <w:tcW w:w="1618"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语言学概论、逻辑学</w:t>
            </w:r>
          </w:p>
        </w:tc>
        <w:tc>
          <w:tcPr>
            <w:tcW w:w="3682" w:type="dxa"/>
            <w:tcMar>
              <w:left w:w="28" w:type="dxa"/>
              <w:right w:w="28" w:type="dxa"/>
            </w:tcMar>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语言学及应用语言学、逻辑学</w:t>
            </w: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709"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w:t>
            </w: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1621" w:hRule="atLeast"/>
          <w:jc w:val="center"/>
        </w:trPr>
        <w:tc>
          <w:tcPr>
            <w:tcW w:w="1643" w:type="dxa"/>
            <w:vMerge w:val="restart"/>
            <w:tcMar>
              <w:left w:w="28" w:type="dxa"/>
              <w:right w:w="28" w:type="dxa"/>
            </w:tcMar>
            <w:vAlign w:val="center"/>
          </w:tcPr>
          <w:p>
            <w:pPr>
              <w:widowControl/>
              <w:jc w:val="center"/>
              <w:rPr>
                <w:rFonts w:hint="eastAsia" w:ascii="仿宋" w:hAnsi="仿宋" w:eastAsia="仿宋" w:cs="宋体"/>
                <w:color w:val="000000"/>
                <w:kern w:val="0"/>
                <w:sz w:val="20"/>
                <w:szCs w:val="20"/>
              </w:rPr>
            </w:pPr>
            <w:r>
              <w:rPr>
                <w:rFonts w:hint="eastAsia" w:ascii="仿宋" w:hAnsi="仿宋" w:eastAsia="仿宋" w:cs="宋体"/>
                <w:color w:val="000000"/>
                <w:kern w:val="0"/>
                <w:sz w:val="20"/>
                <w:szCs w:val="20"/>
              </w:rPr>
              <w:t xml:space="preserve"> 马克思主义</w:t>
            </w:r>
          </w:p>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学院</w:t>
            </w:r>
          </w:p>
        </w:tc>
        <w:tc>
          <w:tcPr>
            <w:tcW w:w="1853"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马克思主义中国化研究、马克思主义基本原理、国外马克思主义等</w:t>
            </w:r>
          </w:p>
        </w:tc>
        <w:tc>
          <w:tcPr>
            <w:tcW w:w="1490"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思想政治教育</w:t>
            </w:r>
          </w:p>
        </w:tc>
        <w:tc>
          <w:tcPr>
            <w:tcW w:w="1618"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毛泽东思想和中国特色社会主义理论体系概论、马克思主义中国化研究等</w:t>
            </w:r>
          </w:p>
        </w:tc>
        <w:tc>
          <w:tcPr>
            <w:tcW w:w="3682" w:type="dxa"/>
            <w:tcMar>
              <w:left w:w="28" w:type="dxa"/>
              <w:right w:w="28" w:type="dxa"/>
            </w:tcMar>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党员；35周岁以下；至少发表两篇C刊。</w:t>
            </w: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709"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w:t>
            </w:r>
          </w:p>
        </w:tc>
        <w:tc>
          <w:tcPr>
            <w:tcW w:w="465" w:type="dxa"/>
            <w:vMerge w:val="restart"/>
            <w:tcMar>
              <w:left w:w="28" w:type="dxa"/>
              <w:right w:w="28" w:type="dxa"/>
            </w:tcMar>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6</w:t>
            </w:r>
          </w:p>
        </w:tc>
        <w:tc>
          <w:tcPr>
            <w:tcW w:w="2657" w:type="dxa"/>
            <w:vMerge w:val="restart"/>
            <w:tcMar>
              <w:left w:w="28" w:type="dxa"/>
              <w:right w:w="28" w:type="dxa"/>
            </w:tcMar>
            <w:vAlign w:val="center"/>
          </w:tcPr>
          <w:p>
            <w:pPr>
              <w:widowControl/>
              <w:spacing w:line="300" w:lineRule="exact"/>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高老师：0553--5910536</w:t>
            </w:r>
          </w:p>
          <w:p>
            <w:pPr>
              <w:widowControl/>
              <w:spacing w:line="300" w:lineRule="exact"/>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邮箱：asdgzl@163.com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1299" w:hRule="atLeast"/>
          <w:jc w:val="center"/>
        </w:trPr>
        <w:tc>
          <w:tcPr>
            <w:tcW w:w="1643"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jc w:val="center"/>
              <w:rPr>
                <w:rFonts w:ascii="仿宋_GB2312" w:hAnsi="宋体" w:eastAsia="仿宋_GB2312" w:cs="宋体"/>
                <w:color w:val="000000"/>
                <w:spacing w:val="-4"/>
                <w:kern w:val="0"/>
                <w:sz w:val="20"/>
                <w:szCs w:val="20"/>
              </w:rPr>
            </w:pPr>
            <w:r>
              <w:rPr>
                <w:rFonts w:hint="eastAsia" w:ascii="仿宋_GB2312" w:hAnsi="宋体" w:eastAsia="仿宋_GB2312" w:cs="宋体"/>
                <w:color w:val="000000"/>
                <w:spacing w:val="-4"/>
                <w:kern w:val="0"/>
                <w:sz w:val="20"/>
                <w:szCs w:val="20"/>
              </w:rPr>
              <w:t>中共党史、中国近现代史基本问题研究、思想政治教育等</w:t>
            </w:r>
          </w:p>
        </w:tc>
        <w:tc>
          <w:tcPr>
            <w:tcW w:w="1490"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思想政治教育</w:t>
            </w:r>
          </w:p>
        </w:tc>
        <w:tc>
          <w:tcPr>
            <w:tcW w:w="1618"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中国近现代史纲、中共党史、思想政治教育等课程</w:t>
            </w:r>
          </w:p>
        </w:tc>
        <w:tc>
          <w:tcPr>
            <w:tcW w:w="3682" w:type="dxa"/>
            <w:tcMar>
              <w:left w:w="28" w:type="dxa"/>
              <w:right w:w="28" w:type="dxa"/>
            </w:tcMar>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党员；35周岁以下；至少发表两篇C刊。</w:t>
            </w: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709"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w:t>
            </w: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949" w:hRule="atLeast"/>
          <w:jc w:val="center"/>
        </w:trPr>
        <w:tc>
          <w:tcPr>
            <w:tcW w:w="1643"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马克思主义哲学、国外哲学、中国哲学等</w:t>
            </w:r>
          </w:p>
        </w:tc>
        <w:tc>
          <w:tcPr>
            <w:tcW w:w="1490"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思想政治教育</w:t>
            </w:r>
          </w:p>
        </w:tc>
        <w:tc>
          <w:tcPr>
            <w:tcW w:w="1618"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哲学类相关课程</w:t>
            </w:r>
          </w:p>
        </w:tc>
        <w:tc>
          <w:tcPr>
            <w:tcW w:w="3682" w:type="dxa"/>
            <w:tcMar>
              <w:left w:w="28" w:type="dxa"/>
              <w:right w:w="28" w:type="dxa"/>
            </w:tcMar>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党员；35周岁以下；至少发表两篇C刊。</w:t>
            </w: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709"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w:t>
            </w: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1597" w:hRule="atLeast"/>
          <w:jc w:val="center"/>
        </w:trPr>
        <w:tc>
          <w:tcPr>
            <w:tcW w:w="1643" w:type="dxa"/>
            <w:vMerge w:val="restart"/>
            <w:tcMar>
              <w:left w:w="28" w:type="dxa"/>
              <w:right w:w="28" w:type="dxa"/>
            </w:tcMar>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法学院</w:t>
            </w:r>
          </w:p>
        </w:tc>
        <w:tc>
          <w:tcPr>
            <w:tcW w:w="1853"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法理学、民商法学、宪法与行政法学、诉讼法学、经济法学、刑法学、法律史学等</w:t>
            </w:r>
          </w:p>
        </w:tc>
        <w:tc>
          <w:tcPr>
            <w:tcW w:w="1490"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法学</w:t>
            </w:r>
          </w:p>
        </w:tc>
        <w:tc>
          <w:tcPr>
            <w:tcW w:w="1618"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法学相关二级学科课程</w:t>
            </w:r>
          </w:p>
        </w:tc>
        <w:tc>
          <w:tcPr>
            <w:tcW w:w="3682" w:type="dxa"/>
            <w:tcMar>
              <w:left w:w="28" w:type="dxa"/>
              <w:right w:w="28" w:type="dxa"/>
            </w:tcMar>
            <w:vAlign w:val="center"/>
          </w:tcPr>
          <w:p>
            <w:pPr>
              <w:widowControl/>
              <w:jc w:val="left"/>
              <w:rPr>
                <w:rFonts w:ascii="仿宋_GB2312" w:hAnsi="宋体" w:eastAsia="仿宋_GB2312" w:cs="宋体"/>
                <w:color w:val="000000"/>
                <w:kern w:val="0"/>
                <w:sz w:val="20"/>
                <w:szCs w:val="20"/>
              </w:rPr>
            </w:pP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709"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w:t>
            </w:r>
          </w:p>
        </w:tc>
        <w:tc>
          <w:tcPr>
            <w:tcW w:w="465" w:type="dxa"/>
            <w:vMerge w:val="restart"/>
            <w:tcMar>
              <w:left w:w="28" w:type="dxa"/>
              <w:right w:w="28" w:type="dxa"/>
            </w:tcMar>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4</w:t>
            </w:r>
          </w:p>
        </w:tc>
        <w:tc>
          <w:tcPr>
            <w:tcW w:w="2657" w:type="dxa"/>
            <w:vMerge w:val="restart"/>
            <w:tcMar>
              <w:left w:w="28" w:type="dxa"/>
              <w:right w:w="28" w:type="dxa"/>
            </w:tcMar>
            <w:vAlign w:val="center"/>
          </w:tcPr>
          <w:p>
            <w:pPr>
              <w:widowControl/>
              <w:spacing w:line="300" w:lineRule="exact"/>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严老师：0553--5910628</w:t>
            </w:r>
          </w:p>
          <w:p>
            <w:pPr>
              <w:widowControl/>
              <w:spacing w:line="300" w:lineRule="exact"/>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邮箱：rucyh@126.com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1140" w:hRule="atLeast"/>
          <w:jc w:val="center"/>
        </w:trPr>
        <w:tc>
          <w:tcPr>
            <w:tcW w:w="1643"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政治学、公共管理等以及或相关学科的相近研究方向</w:t>
            </w:r>
          </w:p>
        </w:tc>
        <w:tc>
          <w:tcPr>
            <w:tcW w:w="1490"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行政管理</w:t>
            </w:r>
          </w:p>
        </w:tc>
        <w:tc>
          <w:tcPr>
            <w:tcW w:w="1618"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政治学、公共管理等相关课程</w:t>
            </w:r>
          </w:p>
        </w:tc>
        <w:tc>
          <w:tcPr>
            <w:tcW w:w="3682" w:type="dxa"/>
            <w:tcMar>
              <w:left w:w="28" w:type="dxa"/>
              <w:right w:w="28" w:type="dxa"/>
            </w:tcMar>
            <w:vAlign w:val="center"/>
          </w:tcPr>
          <w:p>
            <w:pPr>
              <w:widowControl/>
              <w:jc w:val="left"/>
              <w:rPr>
                <w:rFonts w:ascii="仿宋_GB2312" w:hAnsi="宋体" w:eastAsia="仿宋_GB2312" w:cs="宋体"/>
                <w:color w:val="000000"/>
                <w:kern w:val="0"/>
                <w:sz w:val="20"/>
                <w:szCs w:val="20"/>
              </w:rPr>
            </w:pP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709"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w:t>
            </w: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1681" w:hRule="atLeast"/>
          <w:jc w:val="center"/>
        </w:trPr>
        <w:tc>
          <w:tcPr>
            <w:tcW w:w="1643" w:type="dxa"/>
            <w:vMerge w:val="restart"/>
            <w:tcMar>
              <w:left w:w="28" w:type="dxa"/>
              <w:right w:w="28" w:type="dxa"/>
            </w:tcMar>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经济管理学院</w:t>
            </w:r>
          </w:p>
        </w:tc>
        <w:tc>
          <w:tcPr>
            <w:tcW w:w="1853" w:type="dxa"/>
            <w:tcMar>
              <w:left w:w="28" w:type="dxa"/>
              <w:right w:w="28" w:type="dxa"/>
            </w:tcMar>
            <w:vAlign w:val="center"/>
          </w:tcPr>
          <w:p>
            <w:pPr>
              <w:widowControl/>
              <w:jc w:val="center"/>
              <w:rPr>
                <w:rFonts w:ascii="仿宋_GB2312" w:hAnsi="宋体" w:eastAsia="仿宋_GB2312" w:cs="宋体"/>
                <w:color w:val="000000"/>
                <w:spacing w:val="-6"/>
                <w:kern w:val="0"/>
                <w:sz w:val="20"/>
                <w:szCs w:val="20"/>
              </w:rPr>
            </w:pPr>
            <w:r>
              <w:rPr>
                <w:rFonts w:hint="eastAsia" w:ascii="仿宋_GB2312" w:hAnsi="宋体" w:eastAsia="仿宋_GB2312" w:cs="宋体"/>
                <w:color w:val="000000"/>
                <w:spacing w:val="-6"/>
                <w:kern w:val="0"/>
                <w:sz w:val="20"/>
                <w:szCs w:val="20"/>
              </w:rPr>
              <w:t>西方经济学、政治经济学、经济史、经济思想史、人口资源与环境经济学、农业经济管理等</w:t>
            </w:r>
          </w:p>
        </w:tc>
        <w:tc>
          <w:tcPr>
            <w:tcW w:w="1490"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经济学</w:t>
            </w:r>
          </w:p>
        </w:tc>
        <w:tc>
          <w:tcPr>
            <w:tcW w:w="1618"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宏、微观经济学,政治经济学、,经济思想史等</w:t>
            </w:r>
          </w:p>
        </w:tc>
        <w:tc>
          <w:tcPr>
            <w:tcW w:w="3682" w:type="dxa"/>
            <w:tcMar>
              <w:left w:w="28" w:type="dxa"/>
              <w:right w:w="28" w:type="dxa"/>
            </w:tcMar>
            <w:vAlign w:val="center"/>
          </w:tcPr>
          <w:p>
            <w:pPr>
              <w:widowControl/>
              <w:jc w:val="left"/>
              <w:rPr>
                <w:rFonts w:ascii="仿宋_GB2312" w:hAnsi="宋体" w:eastAsia="仿宋_GB2312" w:cs="宋体"/>
                <w:color w:val="000000"/>
                <w:kern w:val="0"/>
                <w:sz w:val="20"/>
                <w:szCs w:val="20"/>
              </w:rPr>
            </w:pP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709"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w:t>
            </w:r>
          </w:p>
        </w:tc>
        <w:tc>
          <w:tcPr>
            <w:tcW w:w="465" w:type="dxa"/>
            <w:vMerge w:val="restart"/>
            <w:tcMar>
              <w:left w:w="28" w:type="dxa"/>
              <w:right w:w="28" w:type="dxa"/>
            </w:tcMar>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8</w:t>
            </w:r>
          </w:p>
        </w:tc>
        <w:tc>
          <w:tcPr>
            <w:tcW w:w="2657" w:type="dxa"/>
            <w:vMerge w:val="restart"/>
            <w:tcMar>
              <w:left w:w="28" w:type="dxa"/>
              <w:right w:w="28" w:type="dxa"/>
            </w:tcMar>
            <w:vAlign w:val="center"/>
          </w:tcPr>
          <w:p>
            <w:pPr>
              <w:widowControl/>
              <w:spacing w:line="300" w:lineRule="exact"/>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张老师：0553--5910753</w:t>
            </w:r>
          </w:p>
          <w:p>
            <w:pPr>
              <w:widowControl/>
              <w:spacing w:line="300" w:lineRule="exact"/>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邮箱：85332105@qq.com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1020" w:hRule="atLeast"/>
          <w:jc w:val="center"/>
        </w:trPr>
        <w:tc>
          <w:tcPr>
            <w:tcW w:w="1643"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jc w:val="center"/>
              <w:rPr>
                <w:rFonts w:ascii="仿宋_GB2312" w:hAnsi="宋体" w:eastAsia="仿宋_GB2312" w:cs="宋体"/>
                <w:color w:val="000000"/>
                <w:spacing w:val="-6"/>
                <w:kern w:val="0"/>
                <w:sz w:val="20"/>
                <w:szCs w:val="20"/>
              </w:rPr>
            </w:pPr>
            <w:r>
              <w:rPr>
                <w:rFonts w:hint="eastAsia" w:ascii="仿宋_GB2312" w:hAnsi="宋体" w:eastAsia="仿宋_GB2312" w:cs="宋体"/>
                <w:color w:val="000000"/>
                <w:spacing w:val="-6"/>
                <w:kern w:val="0"/>
                <w:sz w:val="20"/>
                <w:szCs w:val="20"/>
              </w:rPr>
              <w:t>金融学、数量经济学、财政学，区域经济学，产业经济学等</w:t>
            </w:r>
          </w:p>
        </w:tc>
        <w:tc>
          <w:tcPr>
            <w:tcW w:w="1490"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投资学</w:t>
            </w:r>
          </w:p>
        </w:tc>
        <w:tc>
          <w:tcPr>
            <w:tcW w:w="1618"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公司金融、行为金融、资产评估</w:t>
            </w:r>
          </w:p>
        </w:tc>
        <w:tc>
          <w:tcPr>
            <w:tcW w:w="3682" w:type="dxa"/>
            <w:tcMar>
              <w:left w:w="28" w:type="dxa"/>
              <w:right w:w="28" w:type="dxa"/>
            </w:tcMar>
            <w:vAlign w:val="center"/>
          </w:tcPr>
          <w:p>
            <w:pPr>
              <w:widowControl/>
              <w:jc w:val="left"/>
              <w:rPr>
                <w:rFonts w:ascii="仿宋_GB2312" w:hAnsi="宋体" w:eastAsia="仿宋_GB2312" w:cs="宋体"/>
                <w:color w:val="000000"/>
                <w:kern w:val="0"/>
                <w:sz w:val="20"/>
                <w:szCs w:val="20"/>
              </w:rPr>
            </w:pP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709"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w:t>
            </w: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789" w:hRule="atLeast"/>
          <w:jc w:val="center"/>
        </w:trPr>
        <w:tc>
          <w:tcPr>
            <w:tcW w:w="1643"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会计学、企业管理</w:t>
            </w:r>
          </w:p>
        </w:tc>
        <w:tc>
          <w:tcPr>
            <w:tcW w:w="1490"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会计学或财务管理</w:t>
            </w:r>
          </w:p>
        </w:tc>
        <w:tc>
          <w:tcPr>
            <w:tcW w:w="1618"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会计学原理、中级财务会计、审计、成本会计等</w:t>
            </w:r>
          </w:p>
        </w:tc>
        <w:tc>
          <w:tcPr>
            <w:tcW w:w="3682" w:type="dxa"/>
            <w:tcMar>
              <w:left w:w="28" w:type="dxa"/>
              <w:right w:w="28" w:type="dxa"/>
            </w:tcMar>
            <w:vAlign w:val="center"/>
          </w:tcPr>
          <w:p>
            <w:pPr>
              <w:widowControl/>
              <w:jc w:val="left"/>
              <w:rPr>
                <w:rFonts w:ascii="仿宋_GB2312" w:hAnsi="宋体" w:eastAsia="仿宋_GB2312" w:cs="宋体"/>
                <w:color w:val="000000"/>
                <w:kern w:val="0"/>
                <w:sz w:val="20"/>
                <w:szCs w:val="20"/>
              </w:rPr>
            </w:pP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709"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w:t>
            </w: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1366" w:hRule="atLeast"/>
          <w:jc w:val="center"/>
        </w:trPr>
        <w:tc>
          <w:tcPr>
            <w:tcW w:w="1643"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企业管理、管理科学与工程</w:t>
            </w:r>
          </w:p>
        </w:tc>
        <w:tc>
          <w:tcPr>
            <w:tcW w:w="1490"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人力资源管理、物流管理</w:t>
            </w:r>
          </w:p>
        </w:tc>
        <w:tc>
          <w:tcPr>
            <w:tcW w:w="1618"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决策理论与方法、绩效管理、管理心理学、数据分析、创新创业。</w:t>
            </w:r>
          </w:p>
        </w:tc>
        <w:tc>
          <w:tcPr>
            <w:tcW w:w="3682" w:type="dxa"/>
            <w:tcMar>
              <w:left w:w="28" w:type="dxa"/>
              <w:right w:w="28" w:type="dxa"/>
            </w:tcMar>
            <w:vAlign w:val="center"/>
          </w:tcPr>
          <w:p>
            <w:pPr>
              <w:widowControl/>
              <w:jc w:val="left"/>
              <w:rPr>
                <w:rFonts w:ascii="仿宋_GB2312" w:hAnsi="宋体" w:eastAsia="仿宋_GB2312" w:cs="宋体"/>
                <w:color w:val="000000"/>
                <w:kern w:val="0"/>
                <w:sz w:val="20"/>
                <w:szCs w:val="20"/>
              </w:rPr>
            </w:pPr>
          </w:p>
        </w:tc>
        <w:tc>
          <w:tcPr>
            <w:tcW w:w="567" w:type="dxa"/>
            <w:tcMar>
              <w:left w:w="28" w:type="dxa"/>
              <w:right w:w="28" w:type="dxa"/>
            </w:tcMar>
            <w:vAlign w:val="center"/>
          </w:tcPr>
          <w:p>
            <w:pPr>
              <w:widowControl/>
              <w:jc w:val="center"/>
              <w:rPr>
                <w:rFonts w:ascii="仿宋_GB2312" w:hAnsi="宋体" w:eastAsia="仿宋_GB2312" w:cs="宋体"/>
                <w:b/>
                <w:bCs/>
                <w:color w:val="000000"/>
                <w:kern w:val="0"/>
                <w:sz w:val="20"/>
                <w:szCs w:val="20"/>
              </w:rPr>
            </w:pPr>
          </w:p>
        </w:tc>
        <w:tc>
          <w:tcPr>
            <w:tcW w:w="709"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w:t>
            </w: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540" w:hRule="atLeast"/>
          <w:jc w:val="center"/>
        </w:trPr>
        <w:tc>
          <w:tcPr>
            <w:tcW w:w="1643" w:type="dxa"/>
            <w:vMerge w:val="restart"/>
            <w:tcMar>
              <w:left w:w="28" w:type="dxa"/>
              <w:right w:w="28" w:type="dxa"/>
            </w:tcMar>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音乐学院</w:t>
            </w:r>
          </w:p>
        </w:tc>
        <w:tc>
          <w:tcPr>
            <w:tcW w:w="1853" w:type="dxa"/>
            <w:tcMar>
              <w:left w:w="28" w:type="dxa"/>
              <w:right w:w="28" w:type="dxa"/>
            </w:tcMar>
            <w:vAlign w:val="center"/>
          </w:tcPr>
          <w:p>
            <w:pPr>
              <w:widowControl/>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音乐与舞蹈学</w:t>
            </w:r>
          </w:p>
        </w:tc>
        <w:tc>
          <w:tcPr>
            <w:tcW w:w="1490" w:type="dxa"/>
            <w:tcMar>
              <w:left w:w="28" w:type="dxa"/>
              <w:right w:w="28" w:type="dxa"/>
            </w:tcMar>
            <w:vAlign w:val="center"/>
          </w:tcPr>
          <w:p>
            <w:pPr>
              <w:widowControl/>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舞蹈</w:t>
            </w:r>
          </w:p>
        </w:tc>
        <w:tc>
          <w:tcPr>
            <w:tcW w:w="1618" w:type="dxa"/>
            <w:tcMar>
              <w:left w:w="28" w:type="dxa"/>
              <w:right w:w="28" w:type="dxa"/>
            </w:tcMar>
            <w:vAlign w:val="center"/>
          </w:tcPr>
          <w:p>
            <w:pPr>
              <w:widowControl/>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舞蹈表演、编导</w:t>
            </w:r>
          </w:p>
        </w:tc>
        <w:tc>
          <w:tcPr>
            <w:tcW w:w="3682" w:type="dxa"/>
            <w:tcMar>
              <w:left w:w="28" w:type="dxa"/>
              <w:right w:w="28" w:type="dxa"/>
            </w:tcMar>
            <w:vAlign w:val="center"/>
          </w:tcPr>
          <w:p>
            <w:pPr>
              <w:widowControl/>
              <w:spacing w:line="24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有专业舞蹈院系表演或舞蹈编导全日制学习经历，具有较高的舞蹈表演水平或舞蹈编导水平。</w:t>
            </w: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w:t>
            </w:r>
          </w:p>
        </w:tc>
        <w:tc>
          <w:tcPr>
            <w:tcW w:w="709" w:type="dxa"/>
            <w:tcMar>
              <w:left w:w="28" w:type="dxa"/>
              <w:right w:w="28" w:type="dxa"/>
            </w:tcMar>
            <w:vAlign w:val="center"/>
          </w:tcPr>
          <w:p>
            <w:pPr>
              <w:widowControl/>
              <w:jc w:val="center"/>
              <w:rPr>
                <w:rFonts w:ascii="仿宋_GB2312" w:hAnsi="宋体" w:eastAsia="仿宋_GB2312" w:cs="宋体"/>
                <w:b/>
                <w:bCs/>
                <w:color w:val="000000"/>
                <w:kern w:val="0"/>
                <w:sz w:val="20"/>
                <w:szCs w:val="20"/>
              </w:rPr>
            </w:pPr>
          </w:p>
        </w:tc>
        <w:tc>
          <w:tcPr>
            <w:tcW w:w="465" w:type="dxa"/>
            <w:vMerge w:val="restart"/>
            <w:tcMar>
              <w:left w:w="28" w:type="dxa"/>
              <w:right w:w="28" w:type="dxa"/>
            </w:tcMar>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6</w:t>
            </w:r>
          </w:p>
        </w:tc>
        <w:tc>
          <w:tcPr>
            <w:tcW w:w="2657" w:type="dxa"/>
            <w:vMerge w:val="restart"/>
            <w:tcMar>
              <w:left w:w="28" w:type="dxa"/>
              <w:right w:w="28" w:type="dxa"/>
            </w:tcMar>
            <w:vAlign w:val="center"/>
          </w:tcPr>
          <w:p>
            <w:pPr>
              <w:widowControl/>
              <w:spacing w:line="300" w:lineRule="exact"/>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王老师：0553--3869316</w:t>
            </w:r>
          </w:p>
          <w:p>
            <w:pPr>
              <w:widowControl/>
              <w:spacing w:line="300" w:lineRule="exact"/>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邮箱：Wjx977@qq.com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540" w:hRule="atLeast"/>
          <w:jc w:val="center"/>
        </w:trPr>
        <w:tc>
          <w:tcPr>
            <w:tcW w:w="1643"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音乐与舞蹈学</w:t>
            </w:r>
          </w:p>
        </w:tc>
        <w:tc>
          <w:tcPr>
            <w:tcW w:w="1490" w:type="dxa"/>
            <w:tcMar>
              <w:left w:w="28" w:type="dxa"/>
              <w:right w:w="28" w:type="dxa"/>
            </w:tcMar>
            <w:vAlign w:val="center"/>
          </w:tcPr>
          <w:p>
            <w:pPr>
              <w:widowControl/>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音乐表演</w:t>
            </w:r>
          </w:p>
        </w:tc>
        <w:tc>
          <w:tcPr>
            <w:tcW w:w="1618" w:type="dxa"/>
            <w:tcMar>
              <w:left w:w="28" w:type="dxa"/>
              <w:right w:w="28" w:type="dxa"/>
            </w:tcMar>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双簧管</w:t>
            </w:r>
          </w:p>
        </w:tc>
        <w:tc>
          <w:tcPr>
            <w:tcW w:w="3682" w:type="dxa"/>
            <w:tcMar>
              <w:left w:w="28" w:type="dxa"/>
              <w:right w:w="28" w:type="dxa"/>
            </w:tcMar>
            <w:vAlign w:val="center"/>
          </w:tcPr>
          <w:p>
            <w:pPr>
              <w:widowControl/>
              <w:spacing w:line="24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有高校从教经历者优先且年龄放宽</w:t>
            </w: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09" w:type="dxa"/>
            <w:tcMar>
              <w:left w:w="28" w:type="dxa"/>
              <w:right w:w="28" w:type="dxa"/>
            </w:tcMar>
            <w:vAlign w:val="center"/>
          </w:tcPr>
          <w:p>
            <w:pPr>
              <w:widowControl/>
              <w:jc w:val="center"/>
              <w:rPr>
                <w:rFonts w:ascii="仿宋_GB2312" w:hAnsi="宋体" w:eastAsia="仿宋_GB2312" w:cs="宋体"/>
                <w:b/>
                <w:bCs/>
                <w:color w:val="000000"/>
                <w:kern w:val="0"/>
                <w:sz w:val="20"/>
                <w:szCs w:val="20"/>
              </w:rPr>
            </w:pP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540" w:hRule="atLeast"/>
          <w:jc w:val="center"/>
        </w:trPr>
        <w:tc>
          <w:tcPr>
            <w:tcW w:w="1643"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音乐与舞蹈学</w:t>
            </w:r>
          </w:p>
        </w:tc>
        <w:tc>
          <w:tcPr>
            <w:tcW w:w="1490" w:type="dxa"/>
            <w:tcMar>
              <w:left w:w="28" w:type="dxa"/>
              <w:right w:w="28" w:type="dxa"/>
            </w:tcMar>
            <w:vAlign w:val="center"/>
          </w:tcPr>
          <w:p>
            <w:pPr>
              <w:widowControl/>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音乐表演</w:t>
            </w:r>
          </w:p>
        </w:tc>
        <w:tc>
          <w:tcPr>
            <w:tcW w:w="1618" w:type="dxa"/>
            <w:tcMar>
              <w:left w:w="28" w:type="dxa"/>
              <w:right w:w="28" w:type="dxa"/>
            </w:tcMar>
            <w:vAlign w:val="center"/>
          </w:tcPr>
          <w:p>
            <w:pPr>
              <w:widowControl/>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萨克斯</w:t>
            </w:r>
          </w:p>
        </w:tc>
        <w:tc>
          <w:tcPr>
            <w:tcW w:w="3682" w:type="dxa"/>
            <w:tcMar>
              <w:left w:w="28" w:type="dxa"/>
              <w:right w:w="28" w:type="dxa"/>
            </w:tcMar>
            <w:vAlign w:val="center"/>
          </w:tcPr>
          <w:p>
            <w:pPr>
              <w:widowControl/>
              <w:spacing w:line="24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有高校从教经历者优先且年龄放宽</w:t>
            </w: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09" w:type="dxa"/>
            <w:tcMar>
              <w:left w:w="28" w:type="dxa"/>
              <w:right w:w="28" w:type="dxa"/>
            </w:tcMar>
            <w:vAlign w:val="center"/>
          </w:tcPr>
          <w:p>
            <w:pPr>
              <w:widowControl/>
              <w:jc w:val="center"/>
              <w:rPr>
                <w:rFonts w:ascii="仿宋_GB2312" w:hAnsi="宋体" w:eastAsia="仿宋_GB2312" w:cs="宋体"/>
                <w:b/>
                <w:bCs/>
                <w:color w:val="000000"/>
                <w:kern w:val="0"/>
                <w:sz w:val="20"/>
                <w:szCs w:val="20"/>
              </w:rPr>
            </w:pP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540" w:hRule="atLeast"/>
          <w:jc w:val="center"/>
        </w:trPr>
        <w:tc>
          <w:tcPr>
            <w:tcW w:w="1643"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音乐与舞蹈学</w:t>
            </w:r>
          </w:p>
        </w:tc>
        <w:tc>
          <w:tcPr>
            <w:tcW w:w="1490" w:type="dxa"/>
            <w:tcMar>
              <w:left w:w="28" w:type="dxa"/>
              <w:right w:w="28" w:type="dxa"/>
            </w:tcMar>
            <w:vAlign w:val="center"/>
          </w:tcPr>
          <w:p>
            <w:pPr>
              <w:widowControl/>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音乐表演</w:t>
            </w:r>
          </w:p>
        </w:tc>
        <w:tc>
          <w:tcPr>
            <w:tcW w:w="1618" w:type="dxa"/>
            <w:tcMar>
              <w:left w:w="28" w:type="dxa"/>
              <w:right w:w="28" w:type="dxa"/>
            </w:tcMar>
            <w:vAlign w:val="center"/>
          </w:tcPr>
          <w:p>
            <w:pPr>
              <w:widowControl/>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大提琴</w:t>
            </w:r>
          </w:p>
        </w:tc>
        <w:tc>
          <w:tcPr>
            <w:tcW w:w="3682" w:type="dxa"/>
            <w:tcMar>
              <w:left w:w="28" w:type="dxa"/>
              <w:right w:w="28" w:type="dxa"/>
            </w:tcMar>
            <w:vAlign w:val="center"/>
          </w:tcPr>
          <w:p>
            <w:pPr>
              <w:widowControl/>
              <w:spacing w:line="24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有高校从教经历者优先且年龄放宽</w:t>
            </w: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09" w:type="dxa"/>
            <w:tcMar>
              <w:left w:w="28" w:type="dxa"/>
              <w:right w:w="28" w:type="dxa"/>
            </w:tcMar>
            <w:vAlign w:val="center"/>
          </w:tcPr>
          <w:p>
            <w:pPr>
              <w:widowControl/>
              <w:jc w:val="center"/>
              <w:rPr>
                <w:rFonts w:ascii="仿宋_GB2312" w:hAnsi="宋体" w:eastAsia="仿宋_GB2312" w:cs="宋体"/>
                <w:b/>
                <w:bCs/>
                <w:color w:val="000000"/>
                <w:kern w:val="0"/>
                <w:sz w:val="20"/>
                <w:szCs w:val="20"/>
              </w:rPr>
            </w:pP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540" w:hRule="atLeast"/>
          <w:jc w:val="center"/>
        </w:trPr>
        <w:tc>
          <w:tcPr>
            <w:tcW w:w="1643"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音乐与舞蹈学</w:t>
            </w:r>
          </w:p>
        </w:tc>
        <w:tc>
          <w:tcPr>
            <w:tcW w:w="1490" w:type="dxa"/>
            <w:tcMar>
              <w:left w:w="28" w:type="dxa"/>
              <w:right w:w="28" w:type="dxa"/>
            </w:tcMar>
            <w:vAlign w:val="center"/>
          </w:tcPr>
          <w:p>
            <w:pPr>
              <w:widowControl/>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音乐表演</w:t>
            </w:r>
          </w:p>
        </w:tc>
        <w:tc>
          <w:tcPr>
            <w:tcW w:w="1618" w:type="dxa"/>
            <w:tcMar>
              <w:left w:w="28" w:type="dxa"/>
              <w:right w:w="28" w:type="dxa"/>
            </w:tcMar>
            <w:vAlign w:val="center"/>
          </w:tcPr>
          <w:p>
            <w:pPr>
              <w:widowControl/>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中提琴、竖琴</w:t>
            </w:r>
          </w:p>
        </w:tc>
        <w:tc>
          <w:tcPr>
            <w:tcW w:w="3682" w:type="dxa"/>
            <w:tcMar>
              <w:left w:w="28" w:type="dxa"/>
              <w:right w:w="28" w:type="dxa"/>
            </w:tcMar>
            <w:vAlign w:val="center"/>
          </w:tcPr>
          <w:p>
            <w:pPr>
              <w:widowControl/>
              <w:spacing w:line="240" w:lineRule="exact"/>
              <w:jc w:val="left"/>
              <w:rPr>
                <w:rFonts w:ascii="仿宋_GB2312" w:hAnsi="宋体" w:eastAsia="仿宋_GB2312" w:cs="宋体"/>
                <w:color w:val="000000"/>
                <w:kern w:val="0"/>
                <w:sz w:val="20"/>
                <w:szCs w:val="20"/>
              </w:rPr>
            </w:pP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09" w:type="dxa"/>
            <w:tcMar>
              <w:left w:w="28" w:type="dxa"/>
              <w:right w:w="28" w:type="dxa"/>
            </w:tcMar>
            <w:vAlign w:val="center"/>
          </w:tcPr>
          <w:p>
            <w:pPr>
              <w:widowControl/>
              <w:jc w:val="center"/>
              <w:rPr>
                <w:rFonts w:ascii="仿宋_GB2312" w:hAnsi="宋体" w:eastAsia="仿宋_GB2312" w:cs="宋体"/>
                <w:b/>
                <w:bCs/>
                <w:color w:val="000000"/>
                <w:kern w:val="0"/>
                <w:sz w:val="20"/>
                <w:szCs w:val="20"/>
              </w:rPr>
            </w:pP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540" w:hRule="atLeast"/>
          <w:jc w:val="center"/>
        </w:trPr>
        <w:tc>
          <w:tcPr>
            <w:tcW w:w="1643" w:type="dxa"/>
            <w:vMerge w:val="restart"/>
            <w:tcMar>
              <w:left w:w="28" w:type="dxa"/>
              <w:right w:w="28" w:type="dxa"/>
            </w:tcMar>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美术学院</w:t>
            </w:r>
          </w:p>
        </w:tc>
        <w:tc>
          <w:tcPr>
            <w:tcW w:w="1853" w:type="dxa"/>
            <w:tcMar>
              <w:left w:w="28" w:type="dxa"/>
              <w:right w:w="28" w:type="dxa"/>
            </w:tcMar>
            <w:vAlign w:val="center"/>
          </w:tcPr>
          <w:p>
            <w:pPr>
              <w:widowControl/>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美术学</w:t>
            </w:r>
          </w:p>
        </w:tc>
        <w:tc>
          <w:tcPr>
            <w:tcW w:w="1490" w:type="dxa"/>
            <w:tcMar>
              <w:left w:w="28" w:type="dxa"/>
              <w:right w:w="28" w:type="dxa"/>
            </w:tcMar>
            <w:vAlign w:val="center"/>
          </w:tcPr>
          <w:p>
            <w:pPr>
              <w:widowControl/>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美术学</w:t>
            </w:r>
          </w:p>
        </w:tc>
        <w:tc>
          <w:tcPr>
            <w:tcW w:w="1618" w:type="dxa"/>
            <w:tcMar>
              <w:left w:w="28" w:type="dxa"/>
              <w:right w:w="28" w:type="dxa"/>
            </w:tcMar>
            <w:vAlign w:val="center"/>
          </w:tcPr>
          <w:p>
            <w:pPr>
              <w:widowControl/>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美术学类课程</w:t>
            </w:r>
          </w:p>
        </w:tc>
        <w:tc>
          <w:tcPr>
            <w:tcW w:w="3682" w:type="dxa"/>
            <w:tcMar>
              <w:left w:w="28" w:type="dxa"/>
              <w:right w:w="28" w:type="dxa"/>
            </w:tcMar>
            <w:vAlign w:val="center"/>
          </w:tcPr>
          <w:p>
            <w:pPr>
              <w:widowControl/>
              <w:spacing w:line="24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美术教育方向</w:t>
            </w: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709"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465" w:type="dxa"/>
            <w:vMerge w:val="restart"/>
            <w:tcMar>
              <w:left w:w="28" w:type="dxa"/>
              <w:right w:w="28" w:type="dxa"/>
            </w:tcMar>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7</w:t>
            </w:r>
          </w:p>
        </w:tc>
        <w:tc>
          <w:tcPr>
            <w:tcW w:w="2657" w:type="dxa"/>
            <w:vMerge w:val="restart"/>
            <w:tcMar>
              <w:left w:w="28" w:type="dxa"/>
              <w:right w:w="28" w:type="dxa"/>
            </w:tcMar>
            <w:vAlign w:val="center"/>
          </w:tcPr>
          <w:p>
            <w:pPr>
              <w:widowControl/>
              <w:spacing w:line="300" w:lineRule="exact"/>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高老师：0553--5910570</w:t>
            </w:r>
          </w:p>
          <w:p>
            <w:pPr>
              <w:widowControl/>
              <w:spacing w:line="300" w:lineRule="exact"/>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邮箱：gaofei@mail.ahnu.edu.cn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540" w:hRule="atLeast"/>
          <w:jc w:val="center"/>
        </w:trPr>
        <w:tc>
          <w:tcPr>
            <w:tcW w:w="1643"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美术学</w:t>
            </w:r>
          </w:p>
        </w:tc>
        <w:tc>
          <w:tcPr>
            <w:tcW w:w="1490" w:type="dxa"/>
            <w:tcMar>
              <w:left w:w="28" w:type="dxa"/>
              <w:right w:w="28" w:type="dxa"/>
            </w:tcMar>
            <w:vAlign w:val="center"/>
          </w:tcPr>
          <w:p>
            <w:pPr>
              <w:widowControl/>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绘画</w:t>
            </w:r>
          </w:p>
        </w:tc>
        <w:tc>
          <w:tcPr>
            <w:tcW w:w="1618" w:type="dxa"/>
            <w:tcMar>
              <w:left w:w="28" w:type="dxa"/>
              <w:right w:w="28" w:type="dxa"/>
            </w:tcMar>
            <w:vAlign w:val="center"/>
          </w:tcPr>
          <w:p>
            <w:pPr>
              <w:widowControl/>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绘画基础等课程</w:t>
            </w:r>
          </w:p>
        </w:tc>
        <w:tc>
          <w:tcPr>
            <w:tcW w:w="3682" w:type="dxa"/>
            <w:tcMar>
              <w:left w:w="28" w:type="dxa"/>
              <w:right w:w="28" w:type="dxa"/>
            </w:tcMar>
            <w:vAlign w:val="center"/>
          </w:tcPr>
          <w:p>
            <w:pPr>
              <w:widowControl/>
              <w:spacing w:line="24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适合中国画（写意人物、工笔人物）、油画等方向专业课教学；专业与科研成果显著，博士优先；专业院校硕士。</w:t>
            </w: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09"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540" w:hRule="atLeast"/>
          <w:jc w:val="center"/>
        </w:trPr>
        <w:tc>
          <w:tcPr>
            <w:tcW w:w="1643"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美术学</w:t>
            </w:r>
          </w:p>
        </w:tc>
        <w:tc>
          <w:tcPr>
            <w:tcW w:w="1490" w:type="dxa"/>
            <w:tcMar>
              <w:left w:w="28" w:type="dxa"/>
              <w:right w:w="28" w:type="dxa"/>
            </w:tcMar>
            <w:vAlign w:val="center"/>
          </w:tcPr>
          <w:p>
            <w:pPr>
              <w:widowControl/>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绘画</w:t>
            </w:r>
          </w:p>
        </w:tc>
        <w:tc>
          <w:tcPr>
            <w:tcW w:w="1618" w:type="dxa"/>
            <w:tcMar>
              <w:left w:w="28" w:type="dxa"/>
              <w:right w:w="28" w:type="dxa"/>
            </w:tcMar>
            <w:vAlign w:val="center"/>
          </w:tcPr>
          <w:p>
            <w:pPr>
              <w:widowControl/>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版画专业基础课</w:t>
            </w:r>
          </w:p>
        </w:tc>
        <w:tc>
          <w:tcPr>
            <w:tcW w:w="3682" w:type="dxa"/>
            <w:tcMar>
              <w:left w:w="28" w:type="dxa"/>
              <w:right w:w="28" w:type="dxa"/>
            </w:tcMar>
            <w:vAlign w:val="center"/>
          </w:tcPr>
          <w:p>
            <w:pPr>
              <w:widowControl/>
              <w:spacing w:line="24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有高校从教经历者优先且年龄放宽。</w:t>
            </w: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09"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540" w:hRule="atLeast"/>
          <w:jc w:val="center"/>
        </w:trPr>
        <w:tc>
          <w:tcPr>
            <w:tcW w:w="1643"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美术学</w:t>
            </w:r>
          </w:p>
        </w:tc>
        <w:tc>
          <w:tcPr>
            <w:tcW w:w="1490" w:type="dxa"/>
            <w:tcMar>
              <w:left w:w="28" w:type="dxa"/>
              <w:right w:w="28" w:type="dxa"/>
            </w:tcMar>
            <w:vAlign w:val="center"/>
          </w:tcPr>
          <w:p>
            <w:pPr>
              <w:widowControl/>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美术学</w:t>
            </w:r>
          </w:p>
        </w:tc>
        <w:tc>
          <w:tcPr>
            <w:tcW w:w="1618" w:type="dxa"/>
            <w:tcMar>
              <w:left w:w="28" w:type="dxa"/>
              <w:right w:w="28" w:type="dxa"/>
            </w:tcMar>
            <w:vAlign w:val="center"/>
          </w:tcPr>
          <w:p>
            <w:pPr>
              <w:widowControl/>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专业基础课</w:t>
            </w:r>
          </w:p>
        </w:tc>
        <w:tc>
          <w:tcPr>
            <w:tcW w:w="3682" w:type="dxa"/>
            <w:tcMar>
              <w:left w:w="28" w:type="dxa"/>
              <w:right w:w="28" w:type="dxa"/>
            </w:tcMar>
            <w:vAlign w:val="center"/>
          </w:tcPr>
          <w:p>
            <w:pPr>
              <w:widowControl/>
              <w:spacing w:line="24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有高校从教经历者优先且年龄放宽。</w:t>
            </w: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09"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540" w:hRule="atLeast"/>
          <w:jc w:val="center"/>
        </w:trPr>
        <w:tc>
          <w:tcPr>
            <w:tcW w:w="1643"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美术学</w:t>
            </w:r>
          </w:p>
        </w:tc>
        <w:tc>
          <w:tcPr>
            <w:tcW w:w="1490" w:type="dxa"/>
            <w:tcMar>
              <w:left w:w="28" w:type="dxa"/>
              <w:right w:w="28" w:type="dxa"/>
            </w:tcMar>
            <w:vAlign w:val="center"/>
          </w:tcPr>
          <w:p>
            <w:pPr>
              <w:widowControl/>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雕塑</w:t>
            </w:r>
          </w:p>
        </w:tc>
        <w:tc>
          <w:tcPr>
            <w:tcW w:w="1618" w:type="dxa"/>
            <w:tcMar>
              <w:left w:w="28" w:type="dxa"/>
              <w:right w:w="28" w:type="dxa"/>
            </w:tcMar>
            <w:vAlign w:val="center"/>
          </w:tcPr>
          <w:p>
            <w:pPr>
              <w:widowControl/>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专业基础课</w:t>
            </w:r>
          </w:p>
        </w:tc>
        <w:tc>
          <w:tcPr>
            <w:tcW w:w="3682" w:type="dxa"/>
            <w:tcMar>
              <w:left w:w="28" w:type="dxa"/>
              <w:right w:w="28" w:type="dxa"/>
            </w:tcMar>
            <w:vAlign w:val="center"/>
          </w:tcPr>
          <w:p>
            <w:pPr>
              <w:widowControl/>
              <w:spacing w:line="24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有高校从教经历者优先且年龄放宽。</w:t>
            </w: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09"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540" w:hRule="atLeast"/>
          <w:jc w:val="center"/>
        </w:trPr>
        <w:tc>
          <w:tcPr>
            <w:tcW w:w="1643"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艺术学</w:t>
            </w:r>
          </w:p>
        </w:tc>
        <w:tc>
          <w:tcPr>
            <w:tcW w:w="1490" w:type="dxa"/>
            <w:tcMar>
              <w:left w:w="28" w:type="dxa"/>
              <w:right w:w="28" w:type="dxa"/>
            </w:tcMar>
            <w:vAlign w:val="center"/>
          </w:tcPr>
          <w:p>
            <w:pPr>
              <w:widowControl/>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环境设计</w:t>
            </w:r>
          </w:p>
        </w:tc>
        <w:tc>
          <w:tcPr>
            <w:tcW w:w="1618" w:type="dxa"/>
            <w:tcMar>
              <w:left w:w="28" w:type="dxa"/>
              <w:right w:w="28" w:type="dxa"/>
            </w:tcMar>
            <w:vAlign w:val="center"/>
          </w:tcPr>
          <w:p>
            <w:pPr>
              <w:widowControl/>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专业基础课</w:t>
            </w:r>
          </w:p>
        </w:tc>
        <w:tc>
          <w:tcPr>
            <w:tcW w:w="3682" w:type="dxa"/>
            <w:tcMar>
              <w:left w:w="28" w:type="dxa"/>
              <w:right w:w="28" w:type="dxa"/>
            </w:tcMar>
            <w:vAlign w:val="center"/>
          </w:tcPr>
          <w:p>
            <w:pPr>
              <w:widowControl/>
              <w:spacing w:line="24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有高校从教经历者优先且年龄放宽。</w:t>
            </w: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09"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891" w:hRule="atLeast"/>
          <w:jc w:val="center"/>
        </w:trPr>
        <w:tc>
          <w:tcPr>
            <w:tcW w:w="1643"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设计学</w:t>
            </w:r>
          </w:p>
        </w:tc>
        <w:tc>
          <w:tcPr>
            <w:tcW w:w="1490" w:type="dxa"/>
            <w:tcMar>
              <w:left w:w="28" w:type="dxa"/>
              <w:right w:w="28" w:type="dxa"/>
            </w:tcMar>
            <w:vAlign w:val="center"/>
          </w:tcPr>
          <w:p>
            <w:pPr>
              <w:widowControl/>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设计学类专业</w:t>
            </w:r>
          </w:p>
        </w:tc>
        <w:tc>
          <w:tcPr>
            <w:tcW w:w="1618" w:type="dxa"/>
            <w:tcMar>
              <w:left w:w="28" w:type="dxa"/>
              <w:right w:w="28" w:type="dxa"/>
            </w:tcMar>
            <w:vAlign w:val="center"/>
          </w:tcPr>
          <w:p>
            <w:pPr>
              <w:widowControl/>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设计学类专业等课程课程</w:t>
            </w:r>
          </w:p>
        </w:tc>
        <w:tc>
          <w:tcPr>
            <w:tcW w:w="3682" w:type="dxa"/>
            <w:tcMar>
              <w:left w:w="28" w:type="dxa"/>
              <w:right w:w="28" w:type="dxa"/>
            </w:tcMar>
            <w:vAlign w:val="center"/>
          </w:tcPr>
          <w:p>
            <w:pPr>
              <w:widowControl/>
              <w:spacing w:line="24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适合工业设计、产品设计等方向专业课教学；专业与科研成果显著，博士优先；专业院校硕士。</w:t>
            </w: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09" w:type="dxa"/>
            <w:tcMar>
              <w:left w:w="28" w:type="dxa"/>
              <w:right w:w="28" w:type="dxa"/>
            </w:tcMar>
            <w:vAlign w:val="center"/>
          </w:tcPr>
          <w:p>
            <w:pPr>
              <w:widowControl/>
              <w:jc w:val="center"/>
              <w:rPr>
                <w:rFonts w:ascii="仿宋_GB2312" w:hAnsi="宋体" w:eastAsia="仿宋_GB2312" w:cs="宋体"/>
                <w:b/>
                <w:bCs/>
                <w:color w:val="000000"/>
                <w:kern w:val="0"/>
                <w:sz w:val="20"/>
                <w:szCs w:val="20"/>
              </w:rPr>
            </w:pP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540" w:hRule="atLeast"/>
          <w:jc w:val="center"/>
        </w:trPr>
        <w:tc>
          <w:tcPr>
            <w:tcW w:w="1643" w:type="dxa"/>
            <w:vMerge w:val="restart"/>
            <w:tcMar>
              <w:left w:w="28" w:type="dxa"/>
              <w:right w:w="28" w:type="dxa"/>
            </w:tcMar>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历史与社会学院</w:t>
            </w:r>
          </w:p>
        </w:tc>
        <w:tc>
          <w:tcPr>
            <w:tcW w:w="1853"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中国史</w:t>
            </w:r>
          </w:p>
        </w:tc>
        <w:tc>
          <w:tcPr>
            <w:tcW w:w="1490"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历史学</w:t>
            </w:r>
          </w:p>
        </w:tc>
        <w:tc>
          <w:tcPr>
            <w:tcW w:w="1618"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明清史、近现代史</w:t>
            </w:r>
          </w:p>
        </w:tc>
        <w:tc>
          <w:tcPr>
            <w:tcW w:w="3682" w:type="dxa"/>
            <w:tcMar>
              <w:left w:w="28" w:type="dxa"/>
              <w:right w:w="28" w:type="dxa"/>
            </w:tcMar>
            <w:vAlign w:val="center"/>
          </w:tcPr>
          <w:p>
            <w:pPr>
              <w:widowControl/>
              <w:spacing w:line="26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本科专业为历史学专业</w:t>
            </w: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709"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w:t>
            </w:r>
          </w:p>
        </w:tc>
        <w:tc>
          <w:tcPr>
            <w:tcW w:w="465" w:type="dxa"/>
            <w:vMerge w:val="restart"/>
            <w:tcMar>
              <w:left w:w="28" w:type="dxa"/>
              <w:right w:w="28" w:type="dxa"/>
            </w:tcMar>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5</w:t>
            </w:r>
          </w:p>
        </w:tc>
        <w:tc>
          <w:tcPr>
            <w:tcW w:w="2657" w:type="dxa"/>
            <w:vMerge w:val="restart"/>
            <w:tcMar>
              <w:left w:w="28" w:type="dxa"/>
              <w:right w:w="28" w:type="dxa"/>
            </w:tcMar>
            <w:vAlign w:val="center"/>
          </w:tcPr>
          <w:p>
            <w:pPr>
              <w:widowControl/>
              <w:spacing w:line="300" w:lineRule="exact"/>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徐老师：0553--5910598</w:t>
            </w:r>
          </w:p>
          <w:p>
            <w:pPr>
              <w:widowControl/>
              <w:spacing w:line="300" w:lineRule="exact"/>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邮箱：xubindyx@sina.com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540" w:hRule="atLeast"/>
          <w:jc w:val="center"/>
        </w:trPr>
        <w:tc>
          <w:tcPr>
            <w:tcW w:w="1643"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世界史</w:t>
            </w:r>
          </w:p>
        </w:tc>
        <w:tc>
          <w:tcPr>
            <w:tcW w:w="1490"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世界史</w:t>
            </w:r>
          </w:p>
        </w:tc>
        <w:tc>
          <w:tcPr>
            <w:tcW w:w="1618"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世界古代史</w:t>
            </w:r>
          </w:p>
        </w:tc>
        <w:tc>
          <w:tcPr>
            <w:tcW w:w="3682" w:type="dxa"/>
            <w:tcMar>
              <w:left w:w="28" w:type="dxa"/>
              <w:right w:w="28" w:type="dxa"/>
            </w:tcMar>
            <w:vAlign w:val="center"/>
          </w:tcPr>
          <w:p>
            <w:pPr>
              <w:widowControl/>
              <w:spacing w:line="26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本科英语专业优先、有海外学习经历优先。</w:t>
            </w: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709" w:type="dxa"/>
            <w:vMerge w:val="restart"/>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540" w:hRule="atLeast"/>
          <w:jc w:val="center"/>
        </w:trPr>
        <w:tc>
          <w:tcPr>
            <w:tcW w:w="1643"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国际政治、国际关系、外交学</w:t>
            </w:r>
          </w:p>
        </w:tc>
        <w:tc>
          <w:tcPr>
            <w:tcW w:w="1490"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世界史</w:t>
            </w:r>
          </w:p>
        </w:tc>
        <w:tc>
          <w:tcPr>
            <w:tcW w:w="1618"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国际关系理论</w:t>
            </w:r>
          </w:p>
        </w:tc>
        <w:tc>
          <w:tcPr>
            <w:tcW w:w="3682" w:type="dxa"/>
            <w:tcMar>
              <w:left w:w="28" w:type="dxa"/>
              <w:right w:w="28" w:type="dxa"/>
            </w:tcMar>
            <w:vAlign w:val="center"/>
          </w:tcPr>
          <w:p>
            <w:pPr>
              <w:widowControl/>
              <w:spacing w:line="26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南亚研究、巴基斯坦研究方向优先，有英语专业背景者优先，有海外学习经历优先。</w:t>
            </w: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709" w:type="dxa"/>
            <w:vMerge w:val="continue"/>
            <w:tcMar>
              <w:left w:w="28" w:type="dxa"/>
              <w:right w:w="28" w:type="dxa"/>
            </w:tcMar>
            <w:vAlign w:val="center"/>
          </w:tcPr>
          <w:p>
            <w:pPr>
              <w:widowControl/>
              <w:jc w:val="left"/>
              <w:rPr>
                <w:rFonts w:ascii="仿宋_GB2312" w:hAnsi="宋体" w:eastAsia="仿宋_GB2312" w:cs="宋体"/>
                <w:color w:val="000000"/>
                <w:kern w:val="0"/>
                <w:sz w:val="20"/>
                <w:szCs w:val="20"/>
              </w:rPr>
            </w:pP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540" w:hRule="atLeast"/>
          <w:jc w:val="center"/>
        </w:trPr>
        <w:tc>
          <w:tcPr>
            <w:tcW w:w="1643"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社会学</w:t>
            </w:r>
          </w:p>
        </w:tc>
        <w:tc>
          <w:tcPr>
            <w:tcW w:w="1490"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社会工作</w:t>
            </w:r>
          </w:p>
        </w:tc>
        <w:tc>
          <w:tcPr>
            <w:tcW w:w="1618"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社会工作概论、个案工作</w:t>
            </w:r>
          </w:p>
        </w:tc>
        <w:tc>
          <w:tcPr>
            <w:tcW w:w="3682" w:type="dxa"/>
            <w:tcMar>
              <w:left w:w="28" w:type="dxa"/>
              <w:right w:w="28" w:type="dxa"/>
            </w:tcMar>
            <w:vAlign w:val="center"/>
          </w:tcPr>
          <w:p>
            <w:pPr>
              <w:widowControl/>
              <w:spacing w:line="26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社工专业博士优先、有海外学习经历优先。</w:t>
            </w: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709" w:type="dxa"/>
            <w:vMerge w:val="restart"/>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w:t>
            </w: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900" w:hRule="atLeast"/>
          <w:jc w:val="center"/>
        </w:trPr>
        <w:tc>
          <w:tcPr>
            <w:tcW w:w="1643"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社会学</w:t>
            </w:r>
          </w:p>
        </w:tc>
        <w:tc>
          <w:tcPr>
            <w:tcW w:w="1490"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社会学</w:t>
            </w:r>
          </w:p>
        </w:tc>
        <w:tc>
          <w:tcPr>
            <w:tcW w:w="1618"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组织社会学、社会学数量方法与应用等</w:t>
            </w:r>
          </w:p>
        </w:tc>
        <w:tc>
          <w:tcPr>
            <w:tcW w:w="3682" w:type="dxa"/>
            <w:tcMar>
              <w:left w:w="28" w:type="dxa"/>
              <w:right w:w="28" w:type="dxa"/>
            </w:tcMar>
            <w:vAlign w:val="center"/>
          </w:tcPr>
          <w:p>
            <w:pPr>
              <w:widowControl/>
              <w:spacing w:line="26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社会学研究方法；有农村社会学研究成果者优先、有海外学习经历优先。</w:t>
            </w: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709" w:type="dxa"/>
            <w:vMerge w:val="continue"/>
            <w:tcMar>
              <w:left w:w="28" w:type="dxa"/>
              <w:right w:w="28" w:type="dxa"/>
            </w:tcMar>
            <w:vAlign w:val="center"/>
          </w:tcPr>
          <w:p>
            <w:pPr>
              <w:widowControl/>
              <w:jc w:val="left"/>
              <w:rPr>
                <w:rFonts w:ascii="仿宋_GB2312" w:hAnsi="宋体" w:eastAsia="仿宋_GB2312" w:cs="宋体"/>
                <w:color w:val="000000"/>
                <w:kern w:val="0"/>
                <w:sz w:val="20"/>
                <w:szCs w:val="20"/>
              </w:rPr>
            </w:pP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720" w:hRule="atLeast"/>
          <w:jc w:val="center"/>
        </w:trPr>
        <w:tc>
          <w:tcPr>
            <w:tcW w:w="1643"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社会保障、行政管理</w:t>
            </w:r>
          </w:p>
        </w:tc>
        <w:tc>
          <w:tcPr>
            <w:tcW w:w="1490"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公共事业管理</w:t>
            </w:r>
          </w:p>
        </w:tc>
        <w:tc>
          <w:tcPr>
            <w:tcW w:w="1618"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社会保障基金管理、公共经济学公共伦理学</w:t>
            </w:r>
          </w:p>
        </w:tc>
        <w:tc>
          <w:tcPr>
            <w:tcW w:w="3682" w:type="dxa"/>
            <w:tcMar>
              <w:left w:w="28" w:type="dxa"/>
              <w:right w:w="28" w:type="dxa"/>
            </w:tcMar>
            <w:vAlign w:val="center"/>
          </w:tcPr>
          <w:p>
            <w:pPr>
              <w:widowControl/>
              <w:spacing w:line="26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有海外学习经历优先</w:t>
            </w: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709" w:type="dxa"/>
            <w:vMerge w:val="continue"/>
            <w:tcMar>
              <w:left w:w="28" w:type="dxa"/>
              <w:right w:w="28" w:type="dxa"/>
            </w:tcMar>
            <w:vAlign w:val="center"/>
          </w:tcPr>
          <w:p>
            <w:pPr>
              <w:widowControl/>
              <w:jc w:val="left"/>
              <w:rPr>
                <w:rFonts w:ascii="仿宋_GB2312" w:hAnsi="宋体" w:eastAsia="仿宋_GB2312" w:cs="宋体"/>
                <w:color w:val="000000"/>
                <w:kern w:val="0"/>
                <w:sz w:val="20"/>
                <w:szCs w:val="20"/>
              </w:rPr>
            </w:pP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953" w:hRule="atLeast"/>
          <w:jc w:val="center"/>
        </w:trPr>
        <w:tc>
          <w:tcPr>
            <w:tcW w:w="1643" w:type="dxa"/>
            <w:vMerge w:val="restart"/>
            <w:tcMar>
              <w:left w:w="28" w:type="dxa"/>
              <w:right w:w="28" w:type="dxa"/>
            </w:tcMar>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教育科学学院</w:t>
            </w:r>
          </w:p>
        </w:tc>
        <w:tc>
          <w:tcPr>
            <w:tcW w:w="1853"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教育经济与管理、教育学原理、教育史等</w:t>
            </w:r>
          </w:p>
        </w:tc>
        <w:tc>
          <w:tcPr>
            <w:tcW w:w="1490"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教育学</w:t>
            </w:r>
          </w:p>
        </w:tc>
        <w:tc>
          <w:tcPr>
            <w:tcW w:w="1618"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教育经济学、教育概论、教育史等课程教学</w:t>
            </w:r>
          </w:p>
        </w:tc>
        <w:tc>
          <w:tcPr>
            <w:tcW w:w="3682" w:type="dxa"/>
            <w:tcMar>
              <w:left w:w="28" w:type="dxa"/>
              <w:right w:w="28" w:type="dxa"/>
            </w:tcMar>
            <w:vAlign w:val="center"/>
          </w:tcPr>
          <w:p>
            <w:pPr>
              <w:widowControl/>
              <w:spacing w:line="26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1.博士学位，年龄35周岁以下，作为第一作者发表过2篇以上CSSCI文章；2.有一年或一年以上境外留学经历者同等条件下优先考虑。</w:t>
            </w: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709"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465" w:type="dxa"/>
            <w:vMerge w:val="restart"/>
            <w:tcMar>
              <w:left w:w="28" w:type="dxa"/>
              <w:right w:w="28" w:type="dxa"/>
            </w:tcMar>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5</w:t>
            </w:r>
          </w:p>
        </w:tc>
        <w:tc>
          <w:tcPr>
            <w:tcW w:w="2657" w:type="dxa"/>
            <w:vMerge w:val="restart"/>
            <w:tcMar>
              <w:left w:w="28" w:type="dxa"/>
              <w:right w:w="28" w:type="dxa"/>
            </w:tcMar>
            <w:vAlign w:val="center"/>
          </w:tcPr>
          <w:p>
            <w:pPr>
              <w:widowControl/>
              <w:spacing w:line="300" w:lineRule="exact"/>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桑老师：0553--3869266</w:t>
            </w:r>
          </w:p>
          <w:p>
            <w:pPr>
              <w:widowControl/>
              <w:spacing w:line="300" w:lineRule="exact"/>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邮箱：s7210qs1@mail.ahnu.edu.cn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581" w:hRule="atLeast"/>
          <w:jc w:val="center"/>
        </w:trPr>
        <w:tc>
          <w:tcPr>
            <w:tcW w:w="1643"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教育技术学</w:t>
            </w:r>
          </w:p>
        </w:tc>
        <w:tc>
          <w:tcPr>
            <w:tcW w:w="1490"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教育技术学</w:t>
            </w:r>
          </w:p>
        </w:tc>
        <w:tc>
          <w:tcPr>
            <w:tcW w:w="1618"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创客与机器人教育、人工智能教育等课程教学</w:t>
            </w:r>
          </w:p>
        </w:tc>
        <w:tc>
          <w:tcPr>
            <w:tcW w:w="3682" w:type="dxa"/>
            <w:tcMar>
              <w:left w:w="28" w:type="dxa"/>
              <w:right w:w="28" w:type="dxa"/>
            </w:tcMar>
            <w:vAlign w:val="center"/>
          </w:tcPr>
          <w:p>
            <w:pPr>
              <w:widowControl/>
              <w:spacing w:line="26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应届博士学位，年龄35周岁以下，作为第一作者发表过3篇以上CSSCI文章。2.具有博士学位、副高职称年龄在35岁以下，要求至少主持过省部级项目1项，作为第一作者发表过5篇以上CSSCI文章。3.具有博士学位、正高职称年龄在45岁以下，要求至少主持过1项国家社会科学基金一般项目，作为第一作者发表过10篇以上CSSCI文章。4.以上3种类型人才中有一年以上境外留学经历者同等条件下优先考虑。</w:t>
            </w: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709"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780" w:hRule="atLeast"/>
          <w:jc w:val="center"/>
        </w:trPr>
        <w:tc>
          <w:tcPr>
            <w:tcW w:w="1643" w:type="dxa"/>
            <w:vMerge w:val="restart"/>
            <w:tcMar>
              <w:left w:w="28" w:type="dxa"/>
              <w:right w:w="28" w:type="dxa"/>
            </w:tcMar>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教育科学学院</w:t>
            </w:r>
          </w:p>
        </w:tc>
        <w:tc>
          <w:tcPr>
            <w:tcW w:w="1853"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基础心理学</w:t>
            </w:r>
          </w:p>
        </w:tc>
        <w:tc>
          <w:tcPr>
            <w:tcW w:w="1490"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心理学</w:t>
            </w:r>
          </w:p>
        </w:tc>
        <w:tc>
          <w:tcPr>
            <w:tcW w:w="1618"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生理心理学或   认知神经科学</w:t>
            </w:r>
          </w:p>
        </w:tc>
        <w:tc>
          <w:tcPr>
            <w:tcW w:w="3682" w:type="dxa"/>
            <w:tcMar>
              <w:left w:w="28" w:type="dxa"/>
              <w:right w:w="28" w:type="dxa"/>
            </w:tcMar>
            <w:vAlign w:val="center"/>
          </w:tcPr>
          <w:p>
            <w:pPr>
              <w:widowControl/>
              <w:spacing w:line="26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1.第一作者或通讯作者的CSSCI、CSCD论文2篇及以上或SSCI、SCI论文1篇及以上；2.原则上要求35周岁以下； 3.满足我校六类人才及以上标准或有境外留学经历者同等条件者优先考虑。</w:t>
            </w: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709"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1020" w:hRule="atLeast"/>
          <w:jc w:val="center"/>
        </w:trPr>
        <w:tc>
          <w:tcPr>
            <w:tcW w:w="1643"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发展与教育心理学</w:t>
            </w:r>
          </w:p>
        </w:tc>
        <w:tc>
          <w:tcPr>
            <w:tcW w:w="1490"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应用心理学</w:t>
            </w:r>
          </w:p>
        </w:tc>
        <w:tc>
          <w:tcPr>
            <w:tcW w:w="1618"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心理统计学或  心理学研究方法</w:t>
            </w:r>
          </w:p>
        </w:tc>
        <w:tc>
          <w:tcPr>
            <w:tcW w:w="3682" w:type="dxa"/>
            <w:tcMar>
              <w:left w:w="28" w:type="dxa"/>
              <w:right w:w="28" w:type="dxa"/>
            </w:tcMar>
            <w:vAlign w:val="center"/>
          </w:tcPr>
          <w:p>
            <w:pPr>
              <w:widowControl/>
              <w:spacing w:line="26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1.第一作者或通讯作者的CSSCI、CSCD论文2篇及以上或SSCI、SCI论文1篇及以上；2.原则上要求35周岁以下；3.满足我校六类人才及以上标准或有境外留学经历者同等条件者优先考虑。</w:t>
            </w: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709"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1117" w:hRule="atLeast"/>
          <w:jc w:val="center"/>
        </w:trPr>
        <w:tc>
          <w:tcPr>
            <w:tcW w:w="1643"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学前教育学</w:t>
            </w:r>
          </w:p>
        </w:tc>
        <w:tc>
          <w:tcPr>
            <w:tcW w:w="1490"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学前教育</w:t>
            </w:r>
          </w:p>
        </w:tc>
        <w:tc>
          <w:tcPr>
            <w:tcW w:w="1618"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学前儿童美术教育、学前教育心理学、幼儿园教学活动设计与实施等</w:t>
            </w:r>
          </w:p>
        </w:tc>
        <w:tc>
          <w:tcPr>
            <w:tcW w:w="3682" w:type="dxa"/>
            <w:tcMar>
              <w:left w:w="28" w:type="dxa"/>
              <w:right w:w="28" w:type="dxa"/>
            </w:tcMar>
            <w:vAlign w:val="center"/>
          </w:tcPr>
          <w:p>
            <w:pPr>
              <w:widowControl/>
              <w:spacing w:line="26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具有博士学位，年龄35周岁以下，且本科和硕士研究生、博士研究生阶段所读专业至少有两个是学前教育专业，作为第一作者发表过1篇以上CSSCI文章。</w:t>
            </w: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709"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540" w:hRule="atLeast"/>
          <w:jc w:val="center"/>
        </w:trPr>
        <w:tc>
          <w:tcPr>
            <w:tcW w:w="1643" w:type="dxa"/>
            <w:vMerge w:val="restart"/>
            <w:tcMar>
              <w:left w:w="28" w:type="dxa"/>
              <w:right w:w="28" w:type="dxa"/>
            </w:tcMar>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体育学院</w:t>
            </w:r>
          </w:p>
        </w:tc>
        <w:tc>
          <w:tcPr>
            <w:tcW w:w="1853"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体育及相关学科</w:t>
            </w:r>
          </w:p>
        </w:tc>
        <w:tc>
          <w:tcPr>
            <w:tcW w:w="1490"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运动训练</w:t>
            </w:r>
          </w:p>
        </w:tc>
        <w:tc>
          <w:tcPr>
            <w:tcW w:w="1618"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田径、足球教学与训练</w:t>
            </w:r>
          </w:p>
        </w:tc>
        <w:tc>
          <w:tcPr>
            <w:tcW w:w="3682" w:type="dxa"/>
            <w:tcMar>
              <w:left w:w="28" w:type="dxa"/>
              <w:right w:w="28" w:type="dxa"/>
            </w:tcMar>
            <w:vAlign w:val="center"/>
          </w:tcPr>
          <w:p>
            <w:pPr>
              <w:widowControl/>
              <w:spacing w:line="26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一级及以上运动员，十项全能或博士优先。</w:t>
            </w:r>
          </w:p>
        </w:tc>
        <w:tc>
          <w:tcPr>
            <w:tcW w:w="567" w:type="dxa"/>
            <w:vMerge w:val="restart"/>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w:t>
            </w:r>
          </w:p>
        </w:tc>
        <w:tc>
          <w:tcPr>
            <w:tcW w:w="709" w:type="dxa"/>
            <w:tcMar>
              <w:left w:w="28" w:type="dxa"/>
              <w:right w:w="28" w:type="dxa"/>
            </w:tcMar>
            <w:vAlign w:val="center"/>
          </w:tcPr>
          <w:p>
            <w:pPr>
              <w:widowControl/>
              <w:jc w:val="center"/>
              <w:rPr>
                <w:rFonts w:ascii="仿宋_GB2312" w:hAnsi="宋体" w:eastAsia="仿宋_GB2312" w:cs="宋体"/>
                <w:b/>
                <w:bCs/>
                <w:color w:val="000000"/>
                <w:kern w:val="0"/>
                <w:sz w:val="20"/>
                <w:szCs w:val="20"/>
              </w:rPr>
            </w:pPr>
          </w:p>
        </w:tc>
        <w:tc>
          <w:tcPr>
            <w:tcW w:w="465" w:type="dxa"/>
            <w:vMerge w:val="restart"/>
            <w:tcMar>
              <w:left w:w="28" w:type="dxa"/>
              <w:right w:w="28" w:type="dxa"/>
            </w:tcMar>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10</w:t>
            </w:r>
          </w:p>
        </w:tc>
        <w:tc>
          <w:tcPr>
            <w:tcW w:w="2657" w:type="dxa"/>
            <w:vMerge w:val="restart"/>
            <w:tcMar>
              <w:left w:w="28" w:type="dxa"/>
              <w:right w:w="28" w:type="dxa"/>
            </w:tcMar>
            <w:vAlign w:val="center"/>
          </w:tcPr>
          <w:p>
            <w:pPr>
              <w:widowControl/>
              <w:spacing w:line="300" w:lineRule="exact"/>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席老师：0553--5910705</w:t>
            </w:r>
          </w:p>
          <w:p>
            <w:pPr>
              <w:widowControl/>
              <w:spacing w:line="300" w:lineRule="exact"/>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邮箱：2256532810@qq.com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840" w:hRule="atLeast"/>
          <w:jc w:val="center"/>
        </w:trPr>
        <w:tc>
          <w:tcPr>
            <w:tcW w:w="1643"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体育及相关学科</w:t>
            </w:r>
          </w:p>
        </w:tc>
        <w:tc>
          <w:tcPr>
            <w:tcW w:w="1490"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舞蹈表演</w:t>
            </w:r>
          </w:p>
        </w:tc>
        <w:tc>
          <w:tcPr>
            <w:tcW w:w="1618"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体育舞蹈教学与训练</w:t>
            </w:r>
          </w:p>
        </w:tc>
        <w:tc>
          <w:tcPr>
            <w:tcW w:w="3682" w:type="dxa"/>
            <w:tcMar>
              <w:left w:w="28" w:type="dxa"/>
              <w:right w:w="28" w:type="dxa"/>
            </w:tcMar>
            <w:vAlign w:val="center"/>
          </w:tcPr>
          <w:p>
            <w:pPr>
              <w:widowControl/>
              <w:spacing w:line="26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男性，全国赛（CEFA体育舞蹈全国锦标赛，CBDF体育舞蹈全国锦标赛，CDSF体育舞蹈全国锦标赛，大体协体育舞蹈全国总决赛）前六名，博士优先。</w:t>
            </w:r>
          </w:p>
        </w:tc>
        <w:tc>
          <w:tcPr>
            <w:tcW w:w="567" w:type="dxa"/>
            <w:vMerge w:val="continue"/>
            <w:tcMar>
              <w:left w:w="28" w:type="dxa"/>
              <w:right w:w="28" w:type="dxa"/>
            </w:tcMar>
            <w:vAlign w:val="center"/>
          </w:tcPr>
          <w:p>
            <w:pPr>
              <w:widowControl/>
              <w:jc w:val="left"/>
              <w:rPr>
                <w:rFonts w:ascii="仿宋_GB2312" w:hAnsi="宋体" w:eastAsia="仿宋_GB2312" w:cs="宋体"/>
                <w:color w:val="000000"/>
                <w:kern w:val="0"/>
                <w:sz w:val="20"/>
                <w:szCs w:val="20"/>
              </w:rPr>
            </w:pPr>
          </w:p>
        </w:tc>
        <w:tc>
          <w:tcPr>
            <w:tcW w:w="709" w:type="dxa"/>
            <w:tcMar>
              <w:left w:w="28" w:type="dxa"/>
              <w:right w:w="28" w:type="dxa"/>
            </w:tcMar>
            <w:vAlign w:val="center"/>
          </w:tcPr>
          <w:p>
            <w:pPr>
              <w:widowControl/>
              <w:jc w:val="center"/>
              <w:rPr>
                <w:rFonts w:ascii="仿宋_GB2312" w:hAnsi="宋体" w:eastAsia="仿宋_GB2312" w:cs="宋体"/>
                <w:b/>
                <w:bCs/>
                <w:color w:val="000000"/>
                <w:kern w:val="0"/>
                <w:sz w:val="20"/>
                <w:szCs w:val="20"/>
              </w:rPr>
            </w:pP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540" w:hRule="atLeast"/>
          <w:jc w:val="center"/>
        </w:trPr>
        <w:tc>
          <w:tcPr>
            <w:tcW w:w="1643"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体育及相关学科</w:t>
            </w:r>
          </w:p>
        </w:tc>
        <w:tc>
          <w:tcPr>
            <w:tcW w:w="1490"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休闲体育</w:t>
            </w:r>
          </w:p>
        </w:tc>
        <w:tc>
          <w:tcPr>
            <w:tcW w:w="1618"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攀岩、户外、营地等课程</w:t>
            </w:r>
          </w:p>
        </w:tc>
        <w:tc>
          <w:tcPr>
            <w:tcW w:w="3682" w:type="dxa"/>
            <w:tcMar>
              <w:left w:w="28" w:type="dxa"/>
              <w:right w:w="28" w:type="dxa"/>
            </w:tcMar>
            <w:vAlign w:val="center"/>
          </w:tcPr>
          <w:p>
            <w:pPr>
              <w:widowControl/>
              <w:spacing w:line="26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通过相关资质认证。</w:t>
            </w:r>
          </w:p>
        </w:tc>
        <w:tc>
          <w:tcPr>
            <w:tcW w:w="567" w:type="dxa"/>
            <w:vMerge w:val="continue"/>
            <w:tcMar>
              <w:left w:w="28" w:type="dxa"/>
              <w:right w:w="28" w:type="dxa"/>
            </w:tcMar>
            <w:vAlign w:val="center"/>
          </w:tcPr>
          <w:p>
            <w:pPr>
              <w:widowControl/>
              <w:jc w:val="left"/>
              <w:rPr>
                <w:rFonts w:ascii="仿宋_GB2312" w:hAnsi="宋体" w:eastAsia="仿宋_GB2312" w:cs="宋体"/>
                <w:color w:val="000000"/>
                <w:kern w:val="0"/>
                <w:sz w:val="20"/>
                <w:szCs w:val="20"/>
              </w:rPr>
            </w:pPr>
          </w:p>
        </w:tc>
        <w:tc>
          <w:tcPr>
            <w:tcW w:w="709" w:type="dxa"/>
            <w:tcMar>
              <w:left w:w="28" w:type="dxa"/>
              <w:right w:w="28" w:type="dxa"/>
            </w:tcMar>
            <w:vAlign w:val="center"/>
          </w:tcPr>
          <w:p>
            <w:pPr>
              <w:widowControl/>
              <w:jc w:val="center"/>
              <w:rPr>
                <w:rFonts w:ascii="仿宋_GB2312" w:hAnsi="宋体" w:eastAsia="仿宋_GB2312" w:cs="宋体"/>
                <w:b/>
                <w:bCs/>
                <w:color w:val="000000"/>
                <w:kern w:val="0"/>
                <w:sz w:val="20"/>
                <w:szCs w:val="20"/>
              </w:rPr>
            </w:pP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445" w:hRule="atLeast"/>
          <w:jc w:val="center"/>
        </w:trPr>
        <w:tc>
          <w:tcPr>
            <w:tcW w:w="1643"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体育教育训练学</w:t>
            </w:r>
          </w:p>
        </w:tc>
        <w:tc>
          <w:tcPr>
            <w:tcW w:w="1490"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体育教育</w:t>
            </w:r>
          </w:p>
        </w:tc>
        <w:tc>
          <w:tcPr>
            <w:tcW w:w="1618"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专项教学与训练</w:t>
            </w:r>
          </w:p>
        </w:tc>
        <w:tc>
          <w:tcPr>
            <w:tcW w:w="3682" w:type="dxa"/>
            <w:vMerge w:val="restart"/>
            <w:tcMar>
              <w:left w:w="28" w:type="dxa"/>
              <w:right w:w="28" w:type="dxa"/>
            </w:tcMar>
            <w:vAlign w:val="center"/>
          </w:tcPr>
          <w:p>
            <w:pPr>
              <w:widowControl/>
              <w:spacing w:line="26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以第一作者在本学科核心期刊发表论文2篇及以上，第一学历须为体育类专业。</w:t>
            </w: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709" w:type="dxa"/>
            <w:vMerge w:val="restart"/>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w:t>
            </w: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82" w:hRule="atLeast"/>
          <w:jc w:val="center"/>
        </w:trPr>
        <w:tc>
          <w:tcPr>
            <w:tcW w:w="1643"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民族传统体育</w:t>
            </w:r>
          </w:p>
        </w:tc>
        <w:tc>
          <w:tcPr>
            <w:tcW w:w="1490"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休闲体育</w:t>
            </w:r>
          </w:p>
        </w:tc>
        <w:tc>
          <w:tcPr>
            <w:tcW w:w="1618"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武术或龙狮运动</w:t>
            </w:r>
          </w:p>
        </w:tc>
        <w:tc>
          <w:tcPr>
            <w:tcW w:w="3682" w:type="dxa"/>
            <w:vMerge w:val="continue"/>
            <w:tcMar>
              <w:left w:w="28" w:type="dxa"/>
              <w:right w:w="28" w:type="dxa"/>
            </w:tcMar>
            <w:vAlign w:val="center"/>
          </w:tcPr>
          <w:p>
            <w:pPr>
              <w:widowControl/>
              <w:jc w:val="left"/>
              <w:rPr>
                <w:rFonts w:ascii="仿宋_GB2312" w:hAnsi="宋体" w:eastAsia="仿宋_GB2312" w:cs="宋体"/>
                <w:color w:val="000000"/>
                <w:kern w:val="0"/>
                <w:sz w:val="20"/>
                <w:szCs w:val="20"/>
              </w:rPr>
            </w:pP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709" w:type="dxa"/>
            <w:vMerge w:val="continue"/>
            <w:tcMar>
              <w:left w:w="28" w:type="dxa"/>
              <w:right w:w="28" w:type="dxa"/>
            </w:tcMar>
            <w:vAlign w:val="center"/>
          </w:tcPr>
          <w:p>
            <w:pPr>
              <w:widowControl/>
              <w:jc w:val="left"/>
              <w:rPr>
                <w:rFonts w:ascii="仿宋_GB2312" w:hAnsi="宋体" w:eastAsia="仿宋_GB2312" w:cs="宋体"/>
                <w:color w:val="000000"/>
                <w:kern w:val="0"/>
                <w:sz w:val="20"/>
                <w:szCs w:val="20"/>
              </w:rPr>
            </w:pP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600" w:hRule="atLeast"/>
          <w:jc w:val="center"/>
        </w:trPr>
        <w:tc>
          <w:tcPr>
            <w:tcW w:w="1643"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体育人文社会学</w:t>
            </w:r>
          </w:p>
        </w:tc>
        <w:tc>
          <w:tcPr>
            <w:tcW w:w="1490"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社会体育</w:t>
            </w:r>
          </w:p>
        </w:tc>
        <w:tc>
          <w:tcPr>
            <w:tcW w:w="1618"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体育产业、体育管理相关课程</w:t>
            </w:r>
          </w:p>
        </w:tc>
        <w:tc>
          <w:tcPr>
            <w:tcW w:w="3682" w:type="dxa"/>
            <w:tcMar>
              <w:left w:w="28" w:type="dxa"/>
              <w:right w:w="28" w:type="dxa"/>
            </w:tcMar>
            <w:vAlign w:val="center"/>
          </w:tcPr>
          <w:p>
            <w:pPr>
              <w:widowControl/>
              <w:spacing w:line="26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以第一作者在本学科核心期刊发表论文2篇及以上</w:t>
            </w: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709" w:type="dxa"/>
            <w:vMerge w:val="continue"/>
            <w:tcMar>
              <w:left w:w="28" w:type="dxa"/>
              <w:right w:w="28" w:type="dxa"/>
            </w:tcMar>
            <w:vAlign w:val="center"/>
          </w:tcPr>
          <w:p>
            <w:pPr>
              <w:widowControl/>
              <w:jc w:val="left"/>
              <w:rPr>
                <w:rFonts w:ascii="仿宋_GB2312" w:hAnsi="宋体" w:eastAsia="仿宋_GB2312" w:cs="宋体"/>
                <w:color w:val="000000"/>
                <w:kern w:val="0"/>
                <w:sz w:val="20"/>
                <w:szCs w:val="20"/>
              </w:rPr>
            </w:pP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97" w:hRule="atLeast"/>
          <w:jc w:val="center"/>
        </w:trPr>
        <w:tc>
          <w:tcPr>
            <w:tcW w:w="1643" w:type="dxa"/>
            <w:vMerge w:val="restart"/>
            <w:tcMar>
              <w:left w:w="28" w:type="dxa"/>
              <w:right w:w="28" w:type="dxa"/>
            </w:tcMar>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体育学院</w:t>
            </w:r>
          </w:p>
        </w:tc>
        <w:tc>
          <w:tcPr>
            <w:tcW w:w="1853"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运动人体科学</w:t>
            </w:r>
          </w:p>
        </w:tc>
        <w:tc>
          <w:tcPr>
            <w:tcW w:w="1490"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运动训练</w:t>
            </w:r>
          </w:p>
        </w:tc>
        <w:tc>
          <w:tcPr>
            <w:tcW w:w="1618"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运动损伤与康复、体育保健学</w:t>
            </w:r>
          </w:p>
        </w:tc>
        <w:tc>
          <w:tcPr>
            <w:tcW w:w="3682" w:type="dxa"/>
            <w:tcMar>
              <w:left w:w="28" w:type="dxa"/>
              <w:right w:w="28" w:type="dxa"/>
            </w:tcMar>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以第一作者发表sci期刊论文2篇以上（含2篇），或以第一作者发表CSSCI期刊2篇以上 。</w:t>
            </w: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709" w:type="dxa"/>
            <w:vMerge w:val="continue"/>
            <w:tcMar>
              <w:left w:w="28" w:type="dxa"/>
              <w:right w:w="28" w:type="dxa"/>
            </w:tcMar>
            <w:vAlign w:val="center"/>
          </w:tcPr>
          <w:p>
            <w:pPr>
              <w:widowControl/>
              <w:jc w:val="left"/>
              <w:rPr>
                <w:rFonts w:ascii="仿宋_GB2312" w:hAnsi="宋体" w:eastAsia="仿宋_GB2312" w:cs="宋体"/>
                <w:color w:val="000000"/>
                <w:kern w:val="0"/>
                <w:sz w:val="20"/>
                <w:szCs w:val="20"/>
              </w:rPr>
            </w:pP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97" w:hRule="atLeast"/>
          <w:jc w:val="center"/>
        </w:trPr>
        <w:tc>
          <w:tcPr>
            <w:tcW w:w="1643"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spacing w:line="26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体育教育训练学</w:t>
            </w:r>
          </w:p>
        </w:tc>
        <w:tc>
          <w:tcPr>
            <w:tcW w:w="1490"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体育教育</w:t>
            </w:r>
          </w:p>
        </w:tc>
        <w:tc>
          <w:tcPr>
            <w:tcW w:w="1618"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篮球</w:t>
            </w:r>
          </w:p>
        </w:tc>
        <w:tc>
          <w:tcPr>
            <w:tcW w:w="3682" w:type="dxa"/>
            <w:tcMar>
              <w:left w:w="28" w:type="dxa"/>
              <w:right w:w="28" w:type="dxa"/>
            </w:tcMar>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篮球二级运动员，一级裁判员。有高校从教经历者优先且年龄放宽。</w:t>
            </w: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w:t>
            </w:r>
          </w:p>
        </w:tc>
        <w:tc>
          <w:tcPr>
            <w:tcW w:w="709" w:type="dxa"/>
            <w:tcMar>
              <w:left w:w="28" w:type="dxa"/>
              <w:right w:w="28" w:type="dxa"/>
            </w:tcMar>
            <w:vAlign w:val="center"/>
          </w:tcPr>
          <w:p>
            <w:pPr>
              <w:widowControl/>
              <w:jc w:val="left"/>
              <w:rPr>
                <w:rFonts w:ascii="仿宋_GB2312" w:hAnsi="宋体" w:eastAsia="仿宋_GB2312" w:cs="宋体"/>
                <w:color w:val="000000"/>
                <w:kern w:val="0"/>
                <w:sz w:val="20"/>
                <w:szCs w:val="20"/>
              </w:rPr>
            </w:pP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97" w:hRule="atLeast"/>
          <w:jc w:val="center"/>
        </w:trPr>
        <w:tc>
          <w:tcPr>
            <w:tcW w:w="1643"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spacing w:line="26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体育教育训练学</w:t>
            </w:r>
          </w:p>
        </w:tc>
        <w:tc>
          <w:tcPr>
            <w:tcW w:w="1490"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舞蹈表演</w:t>
            </w:r>
          </w:p>
        </w:tc>
        <w:tc>
          <w:tcPr>
            <w:tcW w:w="1618"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体育舞蹈</w:t>
            </w:r>
          </w:p>
        </w:tc>
        <w:tc>
          <w:tcPr>
            <w:tcW w:w="3682" w:type="dxa"/>
            <w:tcMar>
              <w:left w:w="28" w:type="dxa"/>
              <w:right w:w="28" w:type="dxa"/>
            </w:tcMar>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获得过体育舞蹈国际赛事前三名。有高校从教经历者优先且年龄放宽；获得省级及以上教学奖优先。</w:t>
            </w: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09" w:type="dxa"/>
            <w:tcMar>
              <w:left w:w="28" w:type="dxa"/>
              <w:right w:w="28" w:type="dxa"/>
            </w:tcMar>
            <w:vAlign w:val="center"/>
          </w:tcPr>
          <w:p>
            <w:pPr>
              <w:widowControl/>
              <w:jc w:val="left"/>
              <w:rPr>
                <w:rFonts w:ascii="仿宋_GB2312" w:hAnsi="宋体" w:eastAsia="仿宋_GB2312" w:cs="宋体"/>
                <w:color w:val="000000"/>
                <w:kern w:val="0"/>
                <w:sz w:val="20"/>
                <w:szCs w:val="20"/>
              </w:rPr>
            </w:pP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97" w:hRule="atLeast"/>
          <w:jc w:val="center"/>
        </w:trPr>
        <w:tc>
          <w:tcPr>
            <w:tcW w:w="1643"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spacing w:line="26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体育教育训练学</w:t>
            </w:r>
          </w:p>
        </w:tc>
        <w:tc>
          <w:tcPr>
            <w:tcW w:w="1490"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舞蹈表演</w:t>
            </w:r>
          </w:p>
        </w:tc>
        <w:tc>
          <w:tcPr>
            <w:tcW w:w="1618"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现代舞</w:t>
            </w:r>
          </w:p>
        </w:tc>
        <w:tc>
          <w:tcPr>
            <w:tcW w:w="3682" w:type="dxa"/>
            <w:tcMar>
              <w:left w:w="28" w:type="dxa"/>
              <w:right w:w="28" w:type="dxa"/>
            </w:tcMar>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有高校从教经历者优先且年龄放宽。</w:t>
            </w: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09" w:type="dxa"/>
            <w:tcMar>
              <w:left w:w="28" w:type="dxa"/>
              <w:right w:w="28" w:type="dxa"/>
            </w:tcMar>
            <w:vAlign w:val="center"/>
          </w:tcPr>
          <w:p>
            <w:pPr>
              <w:widowControl/>
              <w:jc w:val="left"/>
              <w:rPr>
                <w:rFonts w:ascii="仿宋_GB2312" w:hAnsi="宋体" w:eastAsia="仿宋_GB2312" w:cs="宋体"/>
                <w:color w:val="000000"/>
                <w:kern w:val="0"/>
                <w:sz w:val="20"/>
                <w:szCs w:val="20"/>
              </w:rPr>
            </w:pP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97" w:hRule="atLeast"/>
          <w:jc w:val="center"/>
        </w:trPr>
        <w:tc>
          <w:tcPr>
            <w:tcW w:w="1643"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spacing w:line="26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体育教育训练学</w:t>
            </w:r>
          </w:p>
        </w:tc>
        <w:tc>
          <w:tcPr>
            <w:tcW w:w="1490"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社会体育指导与管理</w:t>
            </w:r>
          </w:p>
        </w:tc>
        <w:tc>
          <w:tcPr>
            <w:tcW w:w="1618"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羽毛球</w:t>
            </w:r>
          </w:p>
        </w:tc>
        <w:tc>
          <w:tcPr>
            <w:tcW w:w="3682" w:type="dxa"/>
            <w:tcMar>
              <w:left w:w="28" w:type="dxa"/>
              <w:right w:w="28" w:type="dxa"/>
            </w:tcMar>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羽毛球二级运动员。有高校从教经历者优先且年龄放宽。</w:t>
            </w: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09" w:type="dxa"/>
            <w:tcMar>
              <w:left w:w="28" w:type="dxa"/>
              <w:right w:w="28" w:type="dxa"/>
            </w:tcMar>
            <w:vAlign w:val="center"/>
          </w:tcPr>
          <w:p>
            <w:pPr>
              <w:widowControl/>
              <w:jc w:val="left"/>
              <w:rPr>
                <w:rFonts w:ascii="仿宋_GB2312" w:hAnsi="宋体" w:eastAsia="仿宋_GB2312" w:cs="宋体"/>
                <w:color w:val="000000"/>
                <w:kern w:val="0"/>
                <w:sz w:val="20"/>
                <w:szCs w:val="20"/>
              </w:rPr>
            </w:pP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97" w:hRule="atLeast"/>
          <w:jc w:val="center"/>
        </w:trPr>
        <w:tc>
          <w:tcPr>
            <w:tcW w:w="1643" w:type="dxa"/>
            <w:vMerge w:val="restart"/>
            <w:tcMar>
              <w:left w:w="28" w:type="dxa"/>
              <w:right w:w="28" w:type="dxa"/>
            </w:tcMar>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外国语学院</w:t>
            </w:r>
          </w:p>
        </w:tc>
        <w:tc>
          <w:tcPr>
            <w:tcW w:w="1853"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英语语言文学</w:t>
            </w:r>
          </w:p>
        </w:tc>
        <w:tc>
          <w:tcPr>
            <w:tcW w:w="1490"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英语</w:t>
            </w:r>
          </w:p>
        </w:tc>
        <w:tc>
          <w:tcPr>
            <w:tcW w:w="1618"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综合英语、高级英语、口译、语言学概论</w:t>
            </w:r>
          </w:p>
        </w:tc>
        <w:tc>
          <w:tcPr>
            <w:tcW w:w="3682" w:type="dxa"/>
            <w:tcMar>
              <w:left w:w="28" w:type="dxa"/>
              <w:right w:w="28" w:type="dxa"/>
            </w:tcMar>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硕士</w:t>
            </w:r>
            <w:r>
              <w:rPr>
                <w:rFonts w:hint="eastAsia" w:ascii="仿宋_GB2312" w:hAnsi="宋体" w:eastAsia="仿宋_GB2312" w:cs="宋体"/>
                <w:color w:val="000000"/>
                <w:kern w:val="0"/>
                <w:sz w:val="20"/>
                <w:szCs w:val="20"/>
                <w:lang w:val="en-US" w:eastAsia="zh-CN"/>
              </w:rPr>
              <w:t>5</w:t>
            </w:r>
            <w:r>
              <w:rPr>
                <w:rFonts w:hint="eastAsia" w:ascii="仿宋_GB2312" w:hAnsi="宋体" w:eastAsia="仿宋_GB2312" w:cs="宋体"/>
                <w:color w:val="000000"/>
                <w:kern w:val="0"/>
                <w:sz w:val="20"/>
                <w:szCs w:val="20"/>
              </w:rPr>
              <w:t>个计划中为学科课程与教学论方向不少于</w:t>
            </w:r>
            <w:bookmarkStart w:id="0" w:name="_GoBack"/>
            <w:bookmarkEnd w:id="0"/>
            <w:r>
              <w:rPr>
                <w:rFonts w:hint="eastAsia" w:ascii="仿宋_GB2312" w:hAnsi="宋体" w:eastAsia="仿宋_GB2312" w:cs="宋体"/>
                <w:color w:val="000000"/>
                <w:kern w:val="0"/>
                <w:sz w:val="20"/>
                <w:szCs w:val="20"/>
              </w:rPr>
              <w:t>1个，翻译方向少于1个；有高校从教经历者优先且年龄放宽。</w:t>
            </w: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w:t>
            </w:r>
          </w:p>
        </w:tc>
        <w:tc>
          <w:tcPr>
            <w:tcW w:w="709"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w:t>
            </w:r>
          </w:p>
        </w:tc>
        <w:tc>
          <w:tcPr>
            <w:tcW w:w="465" w:type="dxa"/>
            <w:vMerge w:val="restart"/>
            <w:tcMar>
              <w:left w:w="28" w:type="dxa"/>
              <w:right w:w="28" w:type="dxa"/>
            </w:tcMar>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13</w:t>
            </w:r>
          </w:p>
        </w:tc>
        <w:tc>
          <w:tcPr>
            <w:tcW w:w="2657" w:type="dxa"/>
            <w:vMerge w:val="restart"/>
            <w:tcMar>
              <w:left w:w="28" w:type="dxa"/>
              <w:right w:w="28" w:type="dxa"/>
            </w:tcMar>
            <w:vAlign w:val="center"/>
          </w:tcPr>
          <w:p>
            <w:pPr>
              <w:widowControl/>
              <w:spacing w:line="300" w:lineRule="exact"/>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张老师：0553--5910559</w:t>
            </w:r>
          </w:p>
          <w:p>
            <w:pPr>
              <w:widowControl/>
              <w:spacing w:line="300" w:lineRule="exact"/>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邮箱：cl28518@mail.ahnu.edu.cn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97" w:hRule="atLeast"/>
          <w:jc w:val="center"/>
        </w:trPr>
        <w:tc>
          <w:tcPr>
            <w:tcW w:w="1643"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俄语语言文学</w:t>
            </w:r>
          </w:p>
        </w:tc>
        <w:tc>
          <w:tcPr>
            <w:tcW w:w="1490"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俄语</w:t>
            </w:r>
          </w:p>
        </w:tc>
        <w:tc>
          <w:tcPr>
            <w:tcW w:w="1618"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现代俄语概论、俄汉翻译、俄语口译、俄语写作</w:t>
            </w:r>
          </w:p>
        </w:tc>
        <w:tc>
          <w:tcPr>
            <w:tcW w:w="3682" w:type="dxa"/>
            <w:tcMar>
              <w:left w:w="28" w:type="dxa"/>
              <w:right w:w="28" w:type="dxa"/>
            </w:tcMar>
            <w:vAlign w:val="center"/>
          </w:tcPr>
          <w:p>
            <w:pPr>
              <w:widowControl/>
              <w:jc w:val="left"/>
              <w:rPr>
                <w:rFonts w:ascii="仿宋_GB2312" w:hAnsi="宋体" w:eastAsia="仿宋_GB2312" w:cs="宋体"/>
                <w:color w:val="000000"/>
                <w:kern w:val="0"/>
                <w:sz w:val="20"/>
                <w:szCs w:val="20"/>
              </w:rPr>
            </w:pP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709"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97" w:hRule="atLeast"/>
          <w:jc w:val="center"/>
        </w:trPr>
        <w:tc>
          <w:tcPr>
            <w:tcW w:w="1643"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日语语言文学</w:t>
            </w:r>
          </w:p>
        </w:tc>
        <w:tc>
          <w:tcPr>
            <w:tcW w:w="1490"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日语</w:t>
            </w:r>
          </w:p>
        </w:tc>
        <w:tc>
          <w:tcPr>
            <w:tcW w:w="1618" w:type="dxa"/>
            <w:tcMar>
              <w:left w:w="28" w:type="dxa"/>
              <w:right w:w="28" w:type="dxa"/>
            </w:tcMar>
            <w:vAlign w:val="center"/>
          </w:tcPr>
          <w:p>
            <w:pPr>
              <w:widowControl/>
              <w:spacing w:line="260" w:lineRule="exact"/>
              <w:jc w:val="center"/>
              <w:rPr>
                <w:rFonts w:ascii="仿宋_GB2312" w:hAnsi="宋体" w:eastAsia="仿宋_GB2312" w:cs="宋体"/>
                <w:color w:val="000000"/>
                <w:spacing w:val="-12"/>
                <w:kern w:val="0"/>
                <w:sz w:val="20"/>
                <w:szCs w:val="20"/>
              </w:rPr>
            </w:pPr>
            <w:r>
              <w:rPr>
                <w:rFonts w:hint="eastAsia" w:ascii="仿宋_GB2312" w:hAnsi="宋体" w:eastAsia="仿宋_GB2312" w:cs="宋体"/>
                <w:color w:val="000000"/>
                <w:spacing w:val="-12"/>
                <w:kern w:val="0"/>
                <w:sz w:val="20"/>
                <w:szCs w:val="20"/>
              </w:rPr>
              <w:t>日语语言学概论、日汉笔译、日汉口译</w:t>
            </w:r>
          </w:p>
        </w:tc>
        <w:tc>
          <w:tcPr>
            <w:tcW w:w="3682" w:type="dxa"/>
            <w:tcMar>
              <w:left w:w="28" w:type="dxa"/>
              <w:right w:w="28" w:type="dxa"/>
            </w:tcMar>
            <w:vAlign w:val="center"/>
          </w:tcPr>
          <w:p>
            <w:pPr>
              <w:widowControl/>
              <w:jc w:val="left"/>
              <w:rPr>
                <w:rFonts w:ascii="仿宋_GB2312" w:hAnsi="宋体" w:eastAsia="仿宋_GB2312" w:cs="宋体"/>
                <w:color w:val="000000"/>
                <w:kern w:val="0"/>
                <w:sz w:val="20"/>
                <w:szCs w:val="20"/>
              </w:rPr>
            </w:pP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709"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97" w:hRule="atLeast"/>
          <w:jc w:val="center"/>
        </w:trPr>
        <w:tc>
          <w:tcPr>
            <w:tcW w:w="1643"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法语语言文学</w:t>
            </w:r>
          </w:p>
        </w:tc>
        <w:tc>
          <w:tcPr>
            <w:tcW w:w="1490"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法语</w:t>
            </w:r>
          </w:p>
        </w:tc>
        <w:tc>
          <w:tcPr>
            <w:tcW w:w="1618"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法语语法、法语语言学导论、法国文学史、法语笔译</w:t>
            </w:r>
          </w:p>
        </w:tc>
        <w:tc>
          <w:tcPr>
            <w:tcW w:w="3682" w:type="dxa"/>
            <w:tcMar>
              <w:left w:w="28" w:type="dxa"/>
              <w:right w:w="28" w:type="dxa"/>
            </w:tcMar>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有高校从教经历者优先且年龄放宽</w:t>
            </w: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w:t>
            </w:r>
          </w:p>
        </w:tc>
        <w:tc>
          <w:tcPr>
            <w:tcW w:w="709"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97" w:hRule="atLeast"/>
          <w:jc w:val="center"/>
        </w:trPr>
        <w:tc>
          <w:tcPr>
            <w:tcW w:w="1643"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欧洲语言文学</w:t>
            </w:r>
          </w:p>
        </w:tc>
        <w:tc>
          <w:tcPr>
            <w:tcW w:w="1490"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英语</w:t>
            </w:r>
          </w:p>
        </w:tc>
        <w:tc>
          <w:tcPr>
            <w:tcW w:w="1618"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葡萄牙语口语、葡萄牙语语法、葡萄牙语文学</w:t>
            </w:r>
          </w:p>
        </w:tc>
        <w:tc>
          <w:tcPr>
            <w:tcW w:w="3682" w:type="dxa"/>
            <w:tcMar>
              <w:left w:w="28" w:type="dxa"/>
              <w:right w:w="28" w:type="dxa"/>
            </w:tcMar>
            <w:vAlign w:val="center"/>
          </w:tcPr>
          <w:p>
            <w:pPr>
              <w:widowControl/>
              <w:jc w:val="left"/>
              <w:rPr>
                <w:rFonts w:ascii="仿宋" w:hAnsi="仿宋" w:eastAsia="仿宋" w:cs="宋体"/>
                <w:color w:val="000000"/>
                <w:kern w:val="0"/>
                <w:sz w:val="20"/>
                <w:szCs w:val="20"/>
              </w:rPr>
            </w:pP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09"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863" w:hRule="atLeast"/>
          <w:jc w:val="center"/>
        </w:trPr>
        <w:tc>
          <w:tcPr>
            <w:tcW w:w="1643" w:type="dxa"/>
            <w:vMerge w:val="restart"/>
            <w:tcMar>
              <w:left w:w="28" w:type="dxa"/>
              <w:right w:w="28" w:type="dxa"/>
            </w:tcMar>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新闻与传播学院</w:t>
            </w:r>
          </w:p>
        </w:tc>
        <w:tc>
          <w:tcPr>
            <w:tcW w:w="1853" w:type="dxa"/>
            <w:tcMar>
              <w:left w:w="28" w:type="dxa"/>
              <w:right w:w="28" w:type="dxa"/>
            </w:tcMar>
            <w:vAlign w:val="center"/>
          </w:tcPr>
          <w:p>
            <w:pPr>
              <w:widowControl/>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新闻学</w:t>
            </w:r>
          </w:p>
        </w:tc>
        <w:tc>
          <w:tcPr>
            <w:tcW w:w="1490" w:type="dxa"/>
            <w:tcMar>
              <w:left w:w="28" w:type="dxa"/>
              <w:right w:w="28" w:type="dxa"/>
            </w:tcMar>
            <w:vAlign w:val="center"/>
          </w:tcPr>
          <w:p>
            <w:pPr>
              <w:widowControl/>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新闻学</w:t>
            </w:r>
          </w:p>
        </w:tc>
        <w:tc>
          <w:tcPr>
            <w:tcW w:w="1618" w:type="dxa"/>
            <w:tcMar>
              <w:left w:w="28" w:type="dxa"/>
              <w:right w:w="28" w:type="dxa"/>
            </w:tcMar>
            <w:vAlign w:val="center"/>
          </w:tcPr>
          <w:p>
            <w:pPr>
              <w:widowControl/>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中外新闻史、新闻采访与写作、传播学等相关课程</w:t>
            </w:r>
          </w:p>
        </w:tc>
        <w:tc>
          <w:tcPr>
            <w:tcW w:w="3682" w:type="dxa"/>
            <w:tcMar>
              <w:left w:w="28" w:type="dxa"/>
              <w:right w:w="28" w:type="dxa"/>
            </w:tcMar>
            <w:vAlign w:val="center"/>
          </w:tcPr>
          <w:p>
            <w:pPr>
              <w:widowControl/>
              <w:spacing w:line="24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1.博士须是新闻传播学方向；2.发表CSSCI来源期刊论文2篇以上。</w:t>
            </w: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709"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465" w:type="dxa"/>
            <w:vMerge w:val="restart"/>
            <w:tcMar>
              <w:left w:w="28" w:type="dxa"/>
              <w:right w:w="28" w:type="dxa"/>
            </w:tcMar>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5</w:t>
            </w:r>
          </w:p>
        </w:tc>
        <w:tc>
          <w:tcPr>
            <w:tcW w:w="2657" w:type="dxa"/>
            <w:vMerge w:val="restart"/>
            <w:tcMar>
              <w:left w:w="28" w:type="dxa"/>
              <w:right w:w="28" w:type="dxa"/>
            </w:tcMar>
            <w:vAlign w:val="center"/>
          </w:tcPr>
          <w:p>
            <w:pPr>
              <w:widowControl/>
              <w:spacing w:line="300" w:lineRule="exact"/>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杨老师：0553--5910902</w:t>
            </w:r>
          </w:p>
          <w:p>
            <w:pPr>
              <w:widowControl/>
              <w:spacing w:line="300" w:lineRule="exact"/>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邮箱：bly68820@163.com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1260" w:hRule="atLeast"/>
          <w:jc w:val="center"/>
        </w:trPr>
        <w:tc>
          <w:tcPr>
            <w:tcW w:w="1643"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传播学</w:t>
            </w:r>
          </w:p>
        </w:tc>
        <w:tc>
          <w:tcPr>
            <w:tcW w:w="1490" w:type="dxa"/>
            <w:tcMar>
              <w:left w:w="28" w:type="dxa"/>
              <w:right w:w="28" w:type="dxa"/>
            </w:tcMar>
            <w:vAlign w:val="center"/>
          </w:tcPr>
          <w:p>
            <w:pPr>
              <w:widowControl/>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广告学</w:t>
            </w:r>
          </w:p>
        </w:tc>
        <w:tc>
          <w:tcPr>
            <w:tcW w:w="1618" w:type="dxa"/>
            <w:tcMar>
              <w:left w:w="28" w:type="dxa"/>
              <w:right w:w="28" w:type="dxa"/>
            </w:tcMar>
            <w:vAlign w:val="center"/>
          </w:tcPr>
          <w:p>
            <w:pPr>
              <w:widowControl/>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新媒体营销、新媒体技术、社会化媒体研究、数据分析与应用等</w:t>
            </w:r>
          </w:p>
        </w:tc>
        <w:tc>
          <w:tcPr>
            <w:tcW w:w="3682" w:type="dxa"/>
            <w:tcMar>
              <w:left w:w="28" w:type="dxa"/>
              <w:right w:w="28" w:type="dxa"/>
            </w:tcMar>
            <w:vAlign w:val="center"/>
          </w:tcPr>
          <w:p>
            <w:pPr>
              <w:widowControl/>
              <w:spacing w:line="24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硕士和博士学位专业方向均为新闻传播学者优先；2.以第一作者身份发表发表CSSCI来源期刊论文2篇以上（含），主持有省部级以上项目者优先考虑；3.1983年12月31日后出生；具有高级专业技术职称者，年龄可适当放宽。</w:t>
            </w: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709"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1357" w:hRule="atLeast"/>
          <w:jc w:val="center"/>
        </w:trPr>
        <w:tc>
          <w:tcPr>
            <w:tcW w:w="1643"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广播电视艺术学</w:t>
            </w:r>
          </w:p>
        </w:tc>
        <w:tc>
          <w:tcPr>
            <w:tcW w:w="1490" w:type="dxa"/>
            <w:tcMar>
              <w:left w:w="28" w:type="dxa"/>
              <w:right w:w="28" w:type="dxa"/>
            </w:tcMar>
            <w:vAlign w:val="center"/>
          </w:tcPr>
          <w:p>
            <w:pPr>
              <w:widowControl/>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播音与主持艺术</w:t>
            </w:r>
          </w:p>
        </w:tc>
        <w:tc>
          <w:tcPr>
            <w:tcW w:w="1618" w:type="dxa"/>
            <w:tcMar>
              <w:left w:w="28" w:type="dxa"/>
              <w:right w:w="28" w:type="dxa"/>
            </w:tcMar>
            <w:vAlign w:val="center"/>
          </w:tcPr>
          <w:p>
            <w:pPr>
              <w:widowControl/>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影视配音、表演基础等</w:t>
            </w:r>
          </w:p>
        </w:tc>
        <w:tc>
          <w:tcPr>
            <w:tcW w:w="3682" w:type="dxa"/>
            <w:tcMar>
              <w:left w:w="28" w:type="dxa"/>
              <w:right w:w="28" w:type="dxa"/>
            </w:tcMar>
            <w:vAlign w:val="center"/>
          </w:tcPr>
          <w:p>
            <w:pPr>
              <w:widowControl/>
              <w:spacing w:line="24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硕士阶段须为戏剧与影视学一级学科或其他艺术类相关学科（专业），本科阶段须为播音与主持艺术、影视配音、表演等相关专业；2.普通话水平一级乙等及以上；3.具有一定的相关领域工作经历或实践经验者优先考虑。</w:t>
            </w: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09" w:type="dxa"/>
            <w:tcMar>
              <w:left w:w="28" w:type="dxa"/>
              <w:right w:w="28" w:type="dxa"/>
            </w:tcMar>
            <w:vAlign w:val="center"/>
          </w:tcPr>
          <w:p>
            <w:pPr>
              <w:widowControl/>
              <w:jc w:val="center"/>
              <w:rPr>
                <w:rFonts w:ascii="仿宋_GB2312" w:hAnsi="宋体" w:eastAsia="仿宋_GB2312" w:cs="宋体"/>
                <w:b/>
                <w:bCs/>
                <w:color w:val="000000"/>
                <w:kern w:val="0"/>
                <w:sz w:val="20"/>
                <w:szCs w:val="20"/>
              </w:rPr>
            </w:pP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1753" w:hRule="atLeast"/>
          <w:jc w:val="center"/>
        </w:trPr>
        <w:tc>
          <w:tcPr>
            <w:tcW w:w="1643"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spacing w:line="240" w:lineRule="exact"/>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广播电视艺术视学</w:t>
            </w:r>
          </w:p>
        </w:tc>
        <w:tc>
          <w:tcPr>
            <w:tcW w:w="1490" w:type="dxa"/>
            <w:tcMar>
              <w:left w:w="28" w:type="dxa"/>
              <w:right w:w="28" w:type="dxa"/>
            </w:tcMar>
            <w:vAlign w:val="center"/>
          </w:tcPr>
          <w:p>
            <w:pPr>
              <w:widowControl/>
              <w:spacing w:line="240" w:lineRule="exact"/>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动画</w:t>
            </w:r>
          </w:p>
        </w:tc>
        <w:tc>
          <w:tcPr>
            <w:tcW w:w="1618" w:type="dxa"/>
            <w:tcMar>
              <w:left w:w="28" w:type="dxa"/>
              <w:right w:w="28" w:type="dxa"/>
            </w:tcMar>
            <w:vAlign w:val="center"/>
          </w:tcPr>
          <w:p>
            <w:pPr>
              <w:widowControl/>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动作设计、动画运动规律等</w:t>
            </w:r>
          </w:p>
        </w:tc>
        <w:tc>
          <w:tcPr>
            <w:tcW w:w="3682" w:type="dxa"/>
            <w:tcMar>
              <w:left w:w="28" w:type="dxa"/>
              <w:right w:w="28" w:type="dxa"/>
            </w:tcMar>
            <w:vAlign w:val="center"/>
          </w:tcPr>
          <w:p>
            <w:pPr>
              <w:widowControl/>
              <w:spacing w:line="24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1.1985年以后出生；硕士阶段须为戏剧与影视学一级学科（含广播电视艺术学、动画等专业方向）；2.本科阶段专业为动画专业者优先；3.在国家或地方电视媒体公开播出过影视作品，并具有一定的相关领域工作经历或实践经验者优先；4.已获得相关职业资格认证优先，有高校从教经历者优先且年龄放宽。</w:t>
            </w: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09" w:type="dxa"/>
            <w:tcMar>
              <w:left w:w="28" w:type="dxa"/>
              <w:right w:w="28" w:type="dxa"/>
            </w:tcMar>
            <w:vAlign w:val="center"/>
          </w:tcPr>
          <w:p>
            <w:pPr>
              <w:widowControl/>
              <w:jc w:val="center"/>
              <w:rPr>
                <w:rFonts w:ascii="仿宋_GB2312" w:hAnsi="宋体" w:eastAsia="仿宋_GB2312" w:cs="宋体"/>
                <w:b/>
                <w:bCs/>
                <w:color w:val="000000"/>
                <w:kern w:val="0"/>
                <w:sz w:val="20"/>
                <w:szCs w:val="20"/>
              </w:rPr>
            </w:pP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1996" w:hRule="atLeast"/>
          <w:jc w:val="center"/>
        </w:trPr>
        <w:tc>
          <w:tcPr>
            <w:tcW w:w="1643"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新闻传播学、计算机应用相关专业</w:t>
            </w:r>
          </w:p>
        </w:tc>
        <w:tc>
          <w:tcPr>
            <w:tcW w:w="1490" w:type="dxa"/>
            <w:tcMar>
              <w:left w:w="28" w:type="dxa"/>
              <w:right w:w="28" w:type="dxa"/>
            </w:tcMar>
            <w:vAlign w:val="center"/>
          </w:tcPr>
          <w:p>
            <w:pPr>
              <w:widowControl/>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网络与新媒体</w:t>
            </w:r>
          </w:p>
        </w:tc>
        <w:tc>
          <w:tcPr>
            <w:tcW w:w="1618" w:type="dxa"/>
            <w:tcMar>
              <w:left w:w="28" w:type="dxa"/>
              <w:right w:w="28" w:type="dxa"/>
            </w:tcMar>
            <w:vAlign w:val="center"/>
          </w:tcPr>
          <w:p>
            <w:pPr>
              <w:widowControl/>
              <w:spacing w:line="24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非虚构写作、媒介与社会研究、影视文化研究、视觉传播、电视摄像与剪辑等</w:t>
            </w:r>
          </w:p>
        </w:tc>
        <w:tc>
          <w:tcPr>
            <w:tcW w:w="3682" w:type="dxa"/>
            <w:tcMar>
              <w:left w:w="28" w:type="dxa"/>
              <w:right w:w="28" w:type="dxa"/>
            </w:tcMar>
            <w:vAlign w:val="center"/>
          </w:tcPr>
          <w:p>
            <w:pPr>
              <w:widowControl/>
              <w:spacing w:line="24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1.1985年以后出生；有省级广电媒体或主流网络媒体三年以上实践从业经验者，年龄条件可放宽；2.新闻传播学或计算机应用等相关专业（方向）。本科、硕士或博士阶段有广播电视学、戏剧与影视学、网络与新媒体或计算机网络等专业（方向）学历背景者优先；3.以第一作者发表至少两篇CSSCI以上者优先。  </w:t>
            </w: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709"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540" w:hRule="atLeast"/>
          <w:jc w:val="center"/>
        </w:trPr>
        <w:tc>
          <w:tcPr>
            <w:tcW w:w="1643" w:type="dxa"/>
            <w:vMerge w:val="restart"/>
            <w:tcMar>
              <w:left w:w="28" w:type="dxa"/>
              <w:right w:w="28" w:type="dxa"/>
            </w:tcMar>
            <w:vAlign w:val="center"/>
          </w:tcPr>
          <w:p>
            <w:pPr>
              <w:widowControl/>
              <w:spacing w:line="260" w:lineRule="exact"/>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数学与统计学院</w:t>
            </w:r>
          </w:p>
        </w:tc>
        <w:tc>
          <w:tcPr>
            <w:tcW w:w="1853"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数学类</w:t>
            </w:r>
          </w:p>
        </w:tc>
        <w:tc>
          <w:tcPr>
            <w:tcW w:w="1490"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数学与应用数学</w:t>
            </w:r>
          </w:p>
        </w:tc>
        <w:tc>
          <w:tcPr>
            <w:tcW w:w="1618"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相关课程教学、科研</w:t>
            </w:r>
          </w:p>
        </w:tc>
        <w:tc>
          <w:tcPr>
            <w:tcW w:w="3682" w:type="dxa"/>
            <w:tcMar>
              <w:left w:w="28" w:type="dxa"/>
              <w:right w:w="28" w:type="dxa"/>
            </w:tcMar>
            <w:vAlign w:val="center"/>
          </w:tcPr>
          <w:p>
            <w:pPr>
              <w:widowControl/>
              <w:spacing w:line="260" w:lineRule="exact"/>
              <w:jc w:val="left"/>
              <w:rPr>
                <w:rFonts w:ascii="仿宋_GB2312" w:hAnsi="宋体" w:eastAsia="仿宋_GB2312" w:cs="宋体"/>
                <w:color w:val="000000"/>
                <w:kern w:val="0"/>
                <w:sz w:val="20"/>
                <w:szCs w:val="20"/>
              </w:rPr>
            </w:pPr>
          </w:p>
        </w:tc>
        <w:tc>
          <w:tcPr>
            <w:tcW w:w="567"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p>
        </w:tc>
        <w:tc>
          <w:tcPr>
            <w:tcW w:w="709"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w:t>
            </w:r>
          </w:p>
        </w:tc>
        <w:tc>
          <w:tcPr>
            <w:tcW w:w="465" w:type="dxa"/>
            <w:vMerge w:val="restart"/>
            <w:tcMar>
              <w:left w:w="28" w:type="dxa"/>
              <w:right w:w="28" w:type="dxa"/>
            </w:tcMar>
            <w:vAlign w:val="center"/>
          </w:tcPr>
          <w:p>
            <w:pPr>
              <w:widowControl/>
              <w:spacing w:line="260" w:lineRule="exact"/>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5</w:t>
            </w:r>
          </w:p>
        </w:tc>
        <w:tc>
          <w:tcPr>
            <w:tcW w:w="2657" w:type="dxa"/>
            <w:vMerge w:val="restart"/>
            <w:tcMar>
              <w:left w:w="28" w:type="dxa"/>
              <w:right w:w="28" w:type="dxa"/>
            </w:tcMar>
            <w:vAlign w:val="center"/>
          </w:tcPr>
          <w:p>
            <w:pPr>
              <w:widowControl/>
              <w:spacing w:line="260" w:lineRule="exact"/>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任老师：0553--5910646</w:t>
            </w:r>
          </w:p>
          <w:p>
            <w:pPr>
              <w:widowControl/>
              <w:spacing w:line="260" w:lineRule="exact"/>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邮箱：renyongl@126com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540" w:hRule="atLeast"/>
          <w:jc w:val="center"/>
        </w:trPr>
        <w:tc>
          <w:tcPr>
            <w:tcW w:w="1643" w:type="dxa"/>
            <w:vMerge w:val="continue"/>
            <w:tcMar>
              <w:left w:w="28" w:type="dxa"/>
              <w:right w:w="28" w:type="dxa"/>
            </w:tcMar>
            <w:vAlign w:val="center"/>
          </w:tcPr>
          <w:p>
            <w:pPr>
              <w:widowControl/>
              <w:spacing w:line="260" w:lineRule="exact"/>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学科教学论（数学）</w:t>
            </w:r>
          </w:p>
        </w:tc>
        <w:tc>
          <w:tcPr>
            <w:tcW w:w="1490"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数学与应用数学</w:t>
            </w:r>
          </w:p>
        </w:tc>
        <w:tc>
          <w:tcPr>
            <w:tcW w:w="1618"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中学数学研究、数学课程与教学论</w:t>
            </w:r>
          </w:p>
        </w:tc>
        <w:tc>
          <w:tcPr>
            <w:tcW w:w="3682" w:type="dxa"/>
            <w:tcMar>
              <w:left w:w="28" w:type="dxa"/>
              <w:right w:w="28" w:type="dxa"/>
            </w:tcMar>
            <w:vAlign w:val="center"/>
          </w:tcPr>
          <w:p>
            <w:pPr>
              <w:widowControl/>
              <w:spacing w:line="260" w:lineRule="exact"/>
              <w:jc w:val="left"/>
              <w:rPr>
                <w:rFonts w:ascii="仿宋_GB2312" w:hAnsi="宋体" w:eastAsia="仿宋_GB2312" w:cs="宋体"/>
                <w:color w:val="000000"/>
                <w:kern w:val="0"/>
                <w:sz w:val="20"/>
                <w:szCs w:val="20"/>
              </w:rPr>
            </w:pPr>
          </w:p>
        </w:tc>
        <w:tc>
          <w:tcPr>
            <w:tcW w:w="567"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p>
        </w:tc>
        <w:tc>
          <w:tcPr>
            <w:tcW w:w="709"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465" w:type="dxa"/>
            <w:vMerge w:val="continue"/>
            <w:tcMar>
              <w:left w:w="28" w:type="dxa"/>
              <w:right w:w="28" w:type="dxa"/>
            </w:tcMar>
            <w:vAlign w:val="center"/>
          </w:tcPr>
          <w:p>
            <w:pPr>
              <w:widowControl/>
              <w:spacing w:line="260" w:lineRule="exact"/>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26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960" w:hRule="atLeast"/>
          <w:jc w:val="center"/>
        </w:trPr>
        <w:tc>
          <w:tcPr>
            <w:tcW w:w="1643" w:type="dxa"/>
            <w:vMerge w:val="continue"/>
            <w:tcMar>
              <w:left w:w="28" w:type="dxa"/>
              <w:right w:w="28" w:type="dxa"/>
            </w:tcMar>
            <w:vAlign w:val="center"/>
          </w:tcPr>
          <w:p>
            <w:pPr>
              <w:widowControl/>
              <w:spacing w:line="260" w:lineRule="exact"/>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统计学类、经济学类</w:t>
            </w:r>
          </w:p>
        </w:tc>
        <w:tc>
          <w:tcPr>
            <w:tcW w:w="1490"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统计学</w:t>
            </w:r>
          </w:p>
        </w:tc>
        <w:tc>
          <w:tcPr>
            <w:tcW w:w="1618"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统计学和经济统计学系列课程、计算金融、国民经济核算。</w:t>
            </w:r>
          </w:p>
        </w:tc>
        <w:tc>
          <w:tcPr>
            <w:tcW w:w="3682" w:type="dxa"/>
            <w:tcMar>
              <w:left w:w="28" w:type="dxa"/>
              <w:right w:w="28" w:type="dxa"/>
            </w:tcMar>
            <w:vAlign w:val="center"/>
          </w:tcPr>
          <w:p>
            <w:pPr>
              <w:widowControl/>
              <w:spacing w:line="260" w:lineRule="exact"/>
              <w:jc w:val="left"/>
              <w:rPr>
                <w:rFonts w:ascii="仿宋_GB2312" w:hAnsi="宋体" w:eastAsia="仿宋_GB2312" w:cs="宋体"/>
                <w:color w:val="000000"/>
                <w:kern w:val="0"/>
                <w:sz w:val="20"/>
                <w:szCs w:val="20"/>
              </w:rPr>
            </w:pPr>
          </w:p>
        </w:tc>
        <w:tc>
          <w:tcPr>
            <w:tcW w:w="567"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p>
        </w:tc>
        <w:tc>
          <w:tcPr>
            <w:tcW w:w="709"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w:t>
            </w:r>
          </w:p>
        </w:tc>
        <w:tc>
          <w:tcPr>
            <w:tcW w:w="465" w:type="dxa"/>
            <w:vMerge w:val="continue"/>
            <w:tcMar>
              <w:left w:w="28" w:type="dxa"/>
              <w:right w:w="28" w:type="dxa"/>
            </w:tcMar>
            <w:vAlign w:val="center"/>
          </w:tcPr>
          <w:p>
            <w:pPr>
              <w:widowControl/>
              <w:spacing w:line="260" w:lineRule="exact"/>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26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540" w:hRule="atLeast"/>
          <w:jc w:val="center"/>
        </w:trPr>
        <w:tc>
          <w:tcPr>
            <w:tcW w:w="1643" w:type="dxa"/>
            <w:vMerge w:val="restart"/>
            <w:tcMar>
              <w:left w:w="28" w:type="dxa"/>
              <w:right w:w="28" w:type="dxa"/>
            </w:tcMar>
            <w:vAlign w:val="center"/>
          </w:tcPr>
          <w:p>
            <w:pPr>
              <w:widowControl/>
              <w:spacing w:line="260" w:lineRule="exact"/>
              <w:jc w:val="center"/>
              <w:rPr>
                <w:rFonts w:hint="eastAsia" w:ascii="仿宋" w:hAnsi="仿宋" w:eastAsia="仿宋" w:cs="宋体"/>
                <w:color w:val="000000"/>
                <w:kern w:val="0"/>
                <w:sz w:val="20"/>
                <w:szCs w:val="20"/>
              </w:rPr>
            </w:pPr>
            <w:r>
              <w:rPr>
                <w:rFonts w:hint="eastAsia" w:ascii="仿宋" w:hAnsi="仿宋" w:eastAsia="仿宋" w:cs="宋体"/>
                <w:color w:val="000000"/>
                <w:kern w:val="0"/>
                <w:sz w:val="20"/>
                <w:szCs w:val="20"/>
              </w:rPr>
              <w:t>计算机与信息</w:t>
            </w:r>
          </w:p>
          <w:p>
            <w:pPr>
              <w:widowControl/>
              <w:spacing w:line="260" w:lineRule="exact"/>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学院</w:t>
            </w:r>
          </w:p>
        </w:tc>
        <w:tc>
          <w:tcPr>
            <w:tcW w:w="1853"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计算机类</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相关专业</w:t>
            </w:r>
          </w:p>
        </w:tc>
        <w:tc>
          <w:tcPr>
            <w:tcW w:w="1490"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计算机科学与技术</w:t>
            </w:r>
          </w:p>
        </w:tc>
        <w:tc>
          <w:tcPr>
            <w:tcW w:w="1618"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信息安全、密码学等</w:t>
            </w:r>
          </w:p>
        </w:tc>
        <w:tc>
          <w:tcPr>
            <w:tcW w:w="3682" w:type="dxa"/>
            <w:tcMar>
              <w:left w:w="28" w:type="dxa"/>
              <w:right w:w="28" w:type="dxa"/>
            </w:tcMar>
            <w:vAlign w:val="center"/>
          </w:tcPr>
          <w:p>
            <w:pPr>
              <w:widowControl/>
              <w:spacing w:line="260" w:lineRule="exact"/>
              <w:jc w:val="left"/>
              <w:rPr>
                <w:rFonts w:ascii="仿宋_GB2312" w:hAnsi="宋体" w:eastAsia="仿宋_GB2312" w:cs="宋体"/>
                <w:color w:val="000000"/>
                <w:kern w:val="0"/>
                <w:sz w:val="20"/>
                <w:szCs w:val="20"/>
              </w:rPr>
            </w:pPr>
          </w:p>
        </w:tc>
        <w:tc>
          <w:tcPr>
            <w:tcW w:w="567"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p>
        </w:tc>
        <w:tc>
          <w:tcPr>
            <w:tcW w:w="709"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w:t>
            </w:r>
          </w:p>
        </w:tc>
        <w:tc>
          <w:tcPr>
            <w:tcW w:w="465" w:type="dxa"/>
            <w:vMerge w:val="restart"/>
            <w:tcMar>
              <w:left w:w="28" w:type="dxa"/>
              <w:right w:w="28" w:type="dxa"/>
            </w:tcMar>
            <w:vAlign w:val="center"/>
          </w:tcPr>
          <w:p>
            <w:pPr>
              <w:widowControl/>
              <w:spacing w:line="260" w:lineRule="exact"/>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7</w:t>
            </w:r>
          </w:p>
        </w:tc>
        <w:tc>
          <w:tcPr>
            <w:tcW w:w="2657" w:type="dxa"/>
            <w:vMerge w:val="restart"/>
            <w:tcMar>
              <w:left w:w="28" w:type="dxa"/>
              <w:right w:w="28" w:type="dxa"/>
            </w:tcMar>
            <w:vAlign w:val="center"/>
          </w:tcPr>
          <w:p>
            <w:pPr>
              <w:widowControl/>
              <w:spacing w:line="260" w:lineRule="exact"/>
              <w:jc w:val="center"/>
              <w:rPr>
                <w:rFonts w:hint="eastAsia" w:ascii="仿宋" w:hAnsi="仿宋" w:eastAsia="仿宋" w:cs="宋体"/>
                <w:color w:val="000000"/>
                <w:kern w:val="0"/>
                <w:sz w:val="20"/>
                <w:szCs w:val="20"/>
                <w:lang w:val="en-US" w:eastAsia="zh-CN"/>
              </w:rPr>
            </w:pPr>
            <w:r>
              <w:rPr>
                <w:rFonts w:hint="eastAsia" w:ascii="仿宋" w:hAnsi="仿宋" w:eastAsia="仿宋" w:cs="宋体"/>
                <w:color w:val="000000"/>
                <w:kern w:val="0"/>
                <w:sz w:val="20"/>
                <w:szCs w:val="20"/>
                <w:lang w:eastAsia="zh-CN"/>
              </w:rPr>
              <w:t>罗</w:t>
            </w:r>
            <w:r>
              <w:rPr>
                <w:rFonts w:hint="eastAsia" w:ascii="仿宋" w:hAnsi="仿宋" w:eastAsia="仿宋" w:cs="宋体"/>
                <w:color w:val="000000"/>
                <w:kern w:val="0"/>
                <w:sz w:val="20"/>
                <w:szCs w:val="20"/>
              </w:rPr>
              <w:t>老师：</w:t>
            </w:r>
            <w:r>
              <w:rPr>
                <w:rFonts w:hint="eastAsia" w:ascii="仿宋" w:hAnsi="仿宋" w:eastAsia="仿宋" w:cs="宋体"/>
                <w:color w:val="auto"/>
                <w:kern w:val="0"/>
                <w:sz w:val="20"/>
                <w:szCs w:val="20"/>
              </w:rPr>
              <w:t>0553--5910</w:t>
            </w:r>
            <w:r>
              <w:rPr>
                <w:rFonts w:hint="eastAsia" w:ascii="仿宋" w:hAnsi="仿宋" w:eastAsia="仿宋" w:cs="宋体"/>
                <w:color w:val="auto"/>
                <w:kern w:val="0"/>
                <w:sz w:val="20"/>
                <w:szCs w:val="20"/>
                <w:lang w:val="en-US" w:eastAsia="zh-CN"/>
              </w:rPr>
              <w:t>645</w:t>
            </w:r>
          </w:p>
          <w:p>
            <w:pPr>
              <w:widowControl/>
              <w:spacing w:line="260" w:lineRule="exact"/>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邮箱：ylluo@ustc.edu.cn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540" w:hRule="atLeast"/>
          <w:jc w:val="center"/>
        </w:trPr>
        <w:tc>
          <w:tcPr>
            <w:tcW w:w="1643" w:type="dxa"/>
            <w:vMerge w:val="continue"/>
            <w:tcMar>
              <w:left w:w="28" w:type="dxa"/>
              <w:right w:w="28" w:type="dxa"/>
            </w:tcMar>
            <w:vAlign w:val="center"/>
          </w:tcPr>
          <w:p>
            <w:pPr>
              <w:widowControl/>
              <w:spacing w:line="260" w:lineRule="exact"/>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计算机类</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相关专业</w:t>
            </w:r>
          </w:p>
        </w:tc>
        <w:tc>
          <w:tcPr>
            <w:tcW w:w="1490"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软件工程</w:t>
            </w:r>
          </w:p>
        </w:tc>
        <w:tc>
          <w:tcPr>
            <w:tcW w:w="1618"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数据挖掘、大数据等</w:t>
            </w:r>
          </w:p>
        </w:tc>
        <w:tc>
          <w:tcPr>
            <w:tcW w:w="3682" w:type="dxa"/>
            <w:tcMar>
              <w:left w:w="28" w:type="dxa"/>
              <w:right w:w="28" w:type="dxa"/>
            </w:tcMar>
            <w:vAlign w:val="center"/>
          </w:tcPr>
          <w:p>
            <w:pPr>
              <w:widowControl/>
              <w:spacing w:line="260" w:lineRule="exact"/>
              <w:jc w:val="left"/>
              <w:rPr>
                <w:rFonts w:ascii="仿宋_GB2312" w:hAnsi="宋体" w:eastAsia="仿宋_GB2312" w:cs="宋体"/>
                <w:color w:val="000000"/>
                <w:kern w:val="0"/>
                <w:sz w:val="20"/>
                <w:szCs w:val="20"/>
              </w:rPr>
            </w:pPr>
          </w:p>
        </w:tc>
        <w:tc>
          <w:tcPr>
            <w:tcW w:w="567"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p>
        </w:tc>
        <w:tc>
          <w:tcPr>
            <w:tcW w:w="709"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w:t>
            </w:r>
          </w:p>
        </w:tc>
        <w:tc>
          <w:tcPr>
            <w:tcW w:w="465" w:type="dxa"/>
            <w:vMerge w:val="continue"/>
            <w:tcMar>
              <w:left w:w="28" w:type="dxa"/>
              <w:right w:w="28" w:type="dxa"/>
            </w:tcMar>
            <w:vAlign w:val="center"/>
          </w:tcPr>
          <w:p>
            <w:pPr>
              <w:widowControl/>
              <w:spacing w:line="260" w:lineRule="exact"/>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26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540" w:hRule="atLeast"/>
          <w:jc w:val="center"/>
        </w:trPr>
        <w:tc>
          <w:tcPr>
            <w:tcW w:w="1643" w:type="dxa"/>
            <w:vMerge w:val="continue"/>
            <w:tcMar>
              <w:left w:w="28" w:type="dxa"/>
              <w:right w:w="28" w:type="dxa"/>
            </w:tcMar>
            <w:vAlign w:val="center"/>
          </w:tcPr>
          <w:p>
            <w:pPr>
              <w:widowControl/>
              <w:spacing w:line="260" w:lineRule="exact"/>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计算机类</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相关专业</w:t>
            </w:r>
          </w:p>
        </w:tc>
        <w:tc>
          <w:tcPr>
            <w:tcW w:w="1490"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物联网工程</w:t>
            </w:r>
          </w:p>
        </w:tc>
        <w:tc>
          <w:tcPr>
            <w:tcW w:w="1618"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自动控制原理、机器人概论等</w:t>
            </w:r>
          </w:p>
        </w:tc>
        <w:tc>
          <w:tcPr>
            <w:tcW w:w="3682" w:type="dxa"/>
            <w:tcMar>
              <w:left w:w="28" w:type="dxa"/>
              <w:right w:w="28" w:type="dxa"/>
            </w:tcMar>
            <w:vAlign w:val="center"/>
          </w:tcPr>
          <w:p>
            <w:pPr>
              <w:widowControl/>
              <w:spacing w:line="260" w:lineRule="exact"/>
              <w:jc w:val="left"/>
              <w:rPr>
                <w:rFonts w:ascii="仿宋_GB2312" w:hAnsi="宋体" w:eastAsia="仿宋_GB2312" w:cs="宋体"/>
                <w:color w:val="000000"/>
                <w:kern w:val="0"/>
                <w:sz w:val="20"/>
                <w:szCs w:val="20"/>
              </w:rPr>
            </w:pPr>
          </w:p>
        </w:tc>
        <w:tc>
          <w:tcPr>
            <w:tcW w:w="567"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p>
        </w:tc>
        <w:tc>
          <w:tcPr>
            <w:tcW w:w="709"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w:t>
            </w:r>
          </w:p>
        </w:tc>
        <w:tc>
          <w:tcPr>
            <w:tcW w:w="465" w:type="dxa"/>
            <w:vMerge w:val="continue"/>
            <w:tcMar>
              <w:left w:w="28" w:type="dxa"/>
              <w:right w:w="28" w:type="dxa"/>
            </w:tcMar>
            <w:vAlign w:val="center"/>
          </w:tcPr>
          <w:p>
            <w:pPr>
              <w:widowControl/>
              <w:spacing w:line="260" w:lineRule="exact"/>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26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877" w:hRule="atLeast"/>
          <w:jc w:val="center"/>
        </w:trPr>
        <w:tc>
          <w:tcPr>
            <w:tcW w:w="1643" w:type="dxa"/>
            <w:vMerge w:val="continue"/>
            <w:tcMar>
              <w:left w:w="28" w:type="dxa"/>
              <w:right w:w="28" w:type="dxa"/>
            </w:tcMar>
            <w:vAlign w:val="center"/>
          </w:tcPr>
          <w:p>
            <w:pPr>
              <w:widowControl/>
              <w:spacing w:line="260" w:lineRule="exact"/>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模式识别与智能系统</w:t>
            </w:r>
          </w:p>
        </w:tc>
        <w:tc>
          <w:tcPr>
            <w:tcW w:w="1490"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软件工程</w:t>
            </w:r>
          </w:p>
        </w:tc>
        <w:tc>
          <w:tcPr>
            <w:tcW w:w="1618" w:type="dxa"/>
            <w:tcMar>
              <w:left w:w="28" w:type="dxa"/>
              <w:right w:w="28" w:type="dxa"/>
            </w:tcMar>
            <w:vAlign w:val="center"/>
          </w:tcPr>
          <w:p>
            <w:pPr>
              <w:widowControl/>
              <w:spacing w:line="260" w:lineRule="exact"/>
              <w:jc w:val="center"/>
              <w:rPr>
                <w:rFonts w:ascii="仿宋" w:hAnsi="仿宋" w:eastAsia="仿宋" w:cs="宋体"/>
                <w:color w:val="000000"/>
                <w:kern w:val="0"/>
                <w:sz w:val="20"/>
                <w:szCs w:val="20"/>
              </w:rPr>
            </w:pPr>
            <w:r>
              <w:rPr>
                <w:rFonts w:hint="eastAsia" w:ascii="仿宋_GB2312" w:hAnsi="宋体" w:eastAsia="仿宋_GB2312" w:cs="宋体"/>
                <w:color w:val="000000"/>
                <w:kern w:val="0"/>
                <w:sz w:val="20"/>
                <w:szCs w:val="20"/>
              </w:rPr>
              <w:t>软件开发等</w:t>
            </w:r>
          </w:p>
        </w:tc>
        <w:tc>
          <w:tcPr>
            <w:tcW w:w="3682" w:type="dxa"/>
            <w:tcMar>
              <w:left w:w="28" w:type="dxa"/>
              <w:right w:w="28" w:type="dxa"/>
            </w:tcMar>
            <w:vAlign w:val="center"/>
          </w:tcPr>
          <w:p>
            <w:pPr>
              <w:widowControl/>
              <w:spacing w:line="26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40周岁以下，硕士为“双一流”高校毕业；有国内外著名企业工作经历，从事大型软件性能和功能测试经验三年以上实践经验者优先。</w:t>
            </w:r>
          </w:p>
        </w:tc>
        <w:tc>
          <w:tcPr>
            <w:tcW w:w="567" w:type="dxa"/>
            <w:tcMar>
              <w:left w:w="28" w:type="dxa"/>
              <w:right w:w="28" w:type="dxa"/>
            </w:tcMar>
            <w:vAlign w:val="center"/>
          </w:tcPr>
          <w:p>
            <w:pPr>
              <w:widowControl/>
              <w:spacing w:line="260" w:lineRule="exact"/>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w:t>
            </w:r>
          </w:p>
        </w:tc>
        <w:tc>
          <w:tcPr>
            <w:tcW w:w="709" w:type="dxa"/>
            <w:tcMar>
              <w:left w:w="28" w:type="dxa"/>
              <w:right w:w="28" w:type="dxa"/>
            </w:tcMar>
            <w:vAlign w:val="center"/>
          </w:tcPr>
          <w:p>
            <w:pPr>
              <w:widowControl/>
              <w:spacing w:line="260" w:lineRule="exact"/>
              <w:jc w:val="center"/>
              <w:rPr>
                <w:rFonts w:ascii="仿宋" w:hAnsi="仿宋" w:eastAsia="仿宋" w:cs="宋体"/>
                <w:color w:val="000000"/>
                <w:kern w:val="0"/>
                <w:sz w:val="20"/>
                <w:szCs w:val="20"/>
              </w:rPr>
            </w:pPr>
          </w:p>
        </w:tc>
        <w:tc>
          <w:tcPr>
            <w:tcW w:w="465" w:type="dxa"/>
            <w:vMerge w:val="continue"/>
            <w:tcMar>
              <w:left w:w="28" w:type="dxa"/>
              <w:right w:w="28" w:type="dxa"/>
            </w:tcMar>
            <w:vAlign w:val="center"/>
          </w:tcPr>
          <w:p>
            <w:pPr>
              <w:widowControl/>
              <w:spacing w:line="260" w:lineRule="exact"/>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26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1020" w:hRule="atLeast"/>
          <w:jc w:val="center"/>
        </w:trPr>
        <w:tc>
          <w:tcPr>
            <w:tcW w:w="1643" w:type="dxa"/>
            <w:vMerge w:val="restart"/>
            <w:tcMar>
              <w:left w:w="28" w:type="dxa"/>
              <w:right w:w="28" w:type="dxa"/>
            </w:tcMar>
            <w:vAlign w:val="center"/>
          </w:tcPr>
          <w:p>
            <w:pPr>
              <w:widowControl/>
              <w:spacing w:line="260" w:lineRule="exact"/>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物理与电子信息</w:t>
            </w:r>
          </w:p>
          <w:p>
            <w:pPr>
              <w:widowControl/>
              <w:spacing w:line="260" w:lineRule="exact"/>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学院</w:t>
            </w:r>
          </w:p>
        </w:tc>
        <w:tc>
          <w:tcPr>
            <w:tcW w:w="1853"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电路与系统或电磁场与微波技术</w:t>
            </w:r>
          </w:p>
        </w:tc>
        <w:tc>
          <w:tcPr>
            <w:tcW w:w="1490"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电子信息工程</w:t>
            </w:r>
          </w:p>
        </w:tc>
        <w:tc>
          <w:tcPr>
            <w:tcW w:w="1618"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高频电子线路、微波技术与天线</w:t>
            </w:r>
          </w:p>
        </w:tc>
        <w:tc>
          <w:tcPr>
            <w:tcW w:w="3682" w:type="dxa"/>
            <w:vMerge w:val="restart"/>
            <w:tcMar>
              <w:left w:w="28" w:type="dxa"/>
              <w:right w:w="28" w:type="dxa"/>
            </w:tcMar>
            <w:vAlign w:val="center"/>
          </w:tcPr>
          <w:p>
            <w:pPr>
              <w:widowControl/>
              <w:spacing w:line="26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1.博士学位，年龄不超过35周岁；2.科研成果突出或有海外研究背景者优先。</w:t>
            </w:r>
          </w:p>
        </w:tc>
        <w:tc>
          <w:tcPr>
            <w:tcW w:w="567"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p>
        </w:tc>
        <w:tc>
          <w:tcPr>
            <w:tcW w:w="709"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465" w:type="dxa"/>
            <w:vMerge w:val="restart"/>
            <w:tcMar>
              <w:left w:w="28" w:type="dxa"/>
              <w:right w:w="28" w:type="dxa"/>
            </w:tcMar>
            <w:vAlign w:val="center"/>
          </w:tcPr>
          <w:p>
            <w:pPr>
              <w:widowControl/>
              <w:spacing w:line="260" w:lineRule="exact"/>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5</w:t>
            </w:r>
          </w:p>
        </w:tc>
        <w:tc>
          <w:tcPr>
            <w:tcW w:w="2657" w:type="dxa"/>
            <w:vMerge w:val="restart"/>
            <w:tcMar>
              <w:left w:w="28" w:type="dxa"/>
              <w:right w:w="28" w:type="dxa"/>
            </w:tcMar>
            <w:vAlign w:val="center"/>
          </w:tcPr>
          <w:p>
            <w:pPr>
              <w:widowControl/>
              <w:spacing w:line="260" w:lineRule="exact"/>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郑老师：0553--3883253</w:t>
            </w:r>
          </w:p>
          <w:p>
            <w:pPr>
              <w:widowControl/>
              <w:spacing w:line="260" w:lineRule="exact"/>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邮箱：zxf7002@mail.ahnu.edu.cn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840" w:hRule="atLeast"/>
          <w:jc w:val="center"/>
        </w:trPr>
        <w:tc>
          <w:tcPr>
            <w:tcW w:w="1643" w:type="dxa"/>
            <w:vMerge w:val="continue"/>
            <w:tcMar>
              <w:left w:w="28" w:type="dxa"/>
              <w:right w:w="28" w:type="dxa"/>
            </w:tcMar>
            <w:vAlign w:val="center"/>
          </w:tcPr>
          <w:p>
            <w:pPr>
              <w:widowControl/>
              <w:spacing w:line="260" w:lineRule="exact"/>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光学工程</w:t>
            </w:r>
          </w:p>
        </w:tc>
        <w:tc>
          <w:tcPr>
            <w:tcW w:w="1490"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光电信息科学与技术</w:t>
            </w:r>
          </w:p>
        </w:tc>
        <w:tc>
          <w:tcPr>
            <w:tcW w:w="1618"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物理光学、信息光学、光电器件与系统</w:t>
            </w:r>
          </w:p>
        </w:tc>
        <w:tc>
          <w:tcPr>
            <w:tcW w:w="3682" w:type="dxa"/>
            <w:vMerge w:val="continue"/>
            <w:tcMar>
              <w:left w:w="28" w:type="dxa"/>
              <w:right w:w="28" w:type="dxa"/>
            </w:tcMar>
            <w:vAlign w:val="center"/>
          </w:tcPr>
          <w:p>
            <w:pPr>
              <w:widowControl/>
              <w:spacing w:line="260" w:lineRule="exact"/>
              <w:jc w:val="left"/>
              <w:rPr>
                <w:rFonts w:ascii="仿宋_GB2312" w:hAnsi="宋体" w:eastAsia="仿宋_GB2312" w:cs="宋体"/>
                <w:color w:val="000000"/>
                <w:kern w:val="0"/>
                <w:sz w:val="20"/>
                <w:szCs w:val="20"/>
              </w:rPr>
            </w:pPr>
          </w:p>
        </w:tc>
        <w:tc>
          <w:tcPr>
            <w:tcW w:w="567"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p>
        </w:tc>
        <w:tc>
          <w:tcPr>
            <w:tcW w:w="709"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465" w:type="dxa"/>
            <w:vMerge w:val="continue"/>
            <w:tcMar>
              <w:left w:w="28" w:type="dxa"/>
              <w:right w:w="28" w:type="dxa"/>
            </w:tcMar>
            <w:vAlign w:val="center"/>
          </w:tcPr>
          <w:p>
            <w:pPr>
              <w:widowControl/>
              <w:spacing w:line="260" w:lineRule="exact"/>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26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721" w:hRule="atLeast"/>
          <w:jc w:val="center"/>
        </w:trPr>
        <w:tc>
          <w:tcPr>
            <w:tcW w:w="1643" w:type="dxa"/>
            <w:vMerge w:val="continue"/>
            <w:tcMar>
              <w:left w:w="28" w:type="dxa"/>
              <w:right w:w="28" w:type="dxa"/>
            </w:tcMar>
            <w:vAlign w:val="center"/>
          </w:tcPr>
          <w:p>
            <w:pPr>
              <w:widowControl/>
              <w:spacing w:line="260" w:lineRule="exact"/>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通信与信息系统或信号与信息处理</w:t>
            </w:r>
          </w:p>
        </w:tc>
        <w:tc>
          <w:tcPr>
            <w:tcW w:w="1490"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通信工程 </w:t>
            </w:r>
          </w:p>
        </w:tc>
        <w:tc>
          <w:tcPr>
            <w:tcW w:w="1618"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无线通信网络相关课程、DSP技术</w:t>
            </w:r>
          </w:p>
        </w:tc>
        <w:tc>
          <w:tcPr>
            <w:tcW w:w="3682" w:type="dxa"/>
            <w:vMerge w:val="continue"/>
            <w:tcMar>
              <w:left w:w="28" w:type="dxa"/>
              <w:right w:w="28" w:type="dxa"/>
            </w:tcMar>
            <w:vAlign w:val="center"/>
          </w:tcPr>
          <w:p>
            <w:pPr>
              <w:widowControl/>
              <w:spacing w:line="260" w:lineRule="exact"/>
              <w:jc w:val="left"/>
              <w:rPr>
                <w:rFonts w:ascii="仿宋_GB2312" w:hAnsi="宋体" w:eastAsia="仿宋_GB2312" w:cs="宋体"/>
                <w:color w:val="000000"/>
                <w:kern w:val="0"/>
                <w:sz w:val="20"/>
                <w:szCs w:val="20"/>
              </w:rPr>
            </w:pPr>
          </w:p>
        </w:tc>
        <w:tc>
          <w:tcPr>
            <w:tcW w:w="567"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p>
        </w:tc>
        <w:tc>
          <w:tcPr>
            <w:tcW w:w="709"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465" w:type="dxa"/>
            <w:vMerge w:val="continue"/>
            <w:tcMar>
              <w:left w:w="28" w:type="dxa"/>
              <w:right w:w="28" w:type="dxa"/>
            </w:tcMar>
            <w:vAlign w:val="center"/>
          </w:tcPr>
          <w:p>
            <w:pPr>
              <w:widowControl/>
              <w:spacing w:line="260" w:lineRule="exact"/>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26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1057" w:hRule="atLeast"/>
          <w:jc w:val="center"/>
        </w:trPr>
        <w:tc>
          <w:tcPr>
            <w:tcW w:w="1643" w:type="dxa"/>
            <w:vMerge w:val="restart"/>
            <w:tcMar>
              <w:left w:w="28" w:type="dxa"/>
              <w:right w:w="28" w:type="dxa"/>
            </w:tcMar>
            <w:vAlign w:val="center"/>
          </w:tcPr>
          <w:p>
            <w:pPr>
              <w:widowControl/>
              <w:spacing w:line="260" w:lineRule="exact"/>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物理与电子信息学院</w:t>
            </w:r>
          </w:p>
        </w:tc>
        <w:tc>
          <w:tcPr>
            <w:tcW w:w="1853"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控制理论与控制工程或检测技术与自动化装置</w:t>
            </w:r>
          </w:p>
        </w:tc>
        <w:tc>
          <w:tcPr>
            <w:tcW w:w="1490"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自动化</w:t>
            </w:r>
          </w:p>
        </w:tc>
        <w:tc>
          <w:tcPr>
            <w:tcW w:w="1618"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运动控制系统、工业控制网络</w:t>
            </w:r>
          </w:p>
        </w:tc>
        <w:tc>
          <w:tcPr>
            <w:tcW w:w="3682" w:type="dxa"/>
            <w:vMerge w:val="restart"/>
            <w:tcMar>
              <w:left w:w="28" w:type="dxa"/>
              <w:right w:w="28" w:type="dxa"/>
            </w:tcMar>
            <w:vAlign w:val="center"/>
          </w:tcPr>
          <w:p>
            <w:pPr>
              <w:widowControl/>
              <w:spacing w:line="260" w:lineRule="exact"/>
              <w:jc w:val="left"/>
              <w:rPr>
                <w:rFonts w:ascii="仿宋_GB2312" w:hAnsi="宋体" w:eastAsia="仿宋_GB2312" w:cs="宋体"/>
                <w:color w:val="000000"/>
                <w:kern w:val="0"/>
                <w:sz w:val="20"/>
                <w:szCs w:val="20"/>
              </w:rPr>
            </w:pPr>
          </w:p>
        </w:tc>
        <w:tc>
          <w:tcPr>
            <w:tcW w:w="567"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p>
        </w:tc>
        <w:tc>
          <w:tcPr>
            <w:tcW w:w="709"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465" w:type="dxa"/>
            <w:vMerge w:val="continue"/>
            <w:tcMar>
              <w:left w:w="28" w:type="dxa"/>
              <w:right w:w="28" w:type="dxa"/>
            </w:tcMar>
            <w:vAlign w:val="center"/>
          </w:tcPr>
          <w:p>
            <w:pPr>
              <w:widowControl/>
              <w:spacing w:line="260" w:lineRule="exact"/>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26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780" w:hRule="atLeast"/>
          <w:jc w:val="center"/>
        </w:trPr>
        <w:tc>
          <w:tcPr>
            <w:tcW w:w="1643" w:type="dxa"/>
            <w:vMerge w:val="continue"/>
            <w:tcMar>
              <w:left w:w="28" w:type="dxa"/>
              <w:right w:w="28" w:type="dxa"/>
            </w:tcMar>
            <w:vAlign w:val="center"/>
          </w:tcPr>
          <w:p>
            <w:pPr>
              <w:widowControl/>
              <w:spacing w:line="260" w:lineRule="exact"/>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课程与教学论、光学</w:t>
            </w:r>
          </w:p>
        </w:tc>
        <w:tc>
          <w:tcPr>
            <w:tcW w:w="1490"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物理学</w:t>
            </w:r>
          </w:p>
        </w:tc>
        <w:tc>
          <w:tcPr>
            <w:tcW w:w="1618"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中学物理教学研究、激光物理与技术等</w:t>
            </w:r>
          </w:p>
        </w:tc>
        <w:tc>
          <w:tcPr>
            <w:tcW w:w="3682" w:type="dxa"/>
            <w:vMerge w:val="continue"/>
            <w:tcMar>
              <w:left w:w="28" w:type="dxa"/>
              <w:right w:w="28" w:type="dxa"/>
            </w:tcMar>
            <w:vAlign w:val="center"/>
          </w:tcPr>
          <w:p>
            <w:pPr>
              <w:widowControl/>
              <w:spacing w:line="260" w:lineRule="exact"/>
              <w:jc w:val="left"/>
              <w:rPr>
                <w:rFonts w:ascii="仿宋_GB2312" w:hAnsi="宋体" w:eastAsia="仿宋_GB2312" w:cs="宋体"/>
                <w:color w:val="000000"/>
                <w:kern w:val="0"/>
                <w:sz w:val="20"/>
                <w:szCs w:val="20"/>
              </w:rPr>
            </w:pPr>
          </w:p>
        </w:tc>
        <w:tc>
          <w:tcPr>
            <w:tcW w:w="567"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p>
        </w:tc>
        <w:tc>
          <w:tcPr>
            <w:tcW w:w="709" w:type="dxa"/>
            <w:tcMar>
              <w:left w:w="28" w:type="dxa"/>
              <w:right w:w="28" w:type="dxa"/>
            </w:tcMar>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465" w:type="dxa"/>
            <w:vMerge w:val="continue"/>
            <w:tcMar>
              <w:left w:w="28" w:type="dxa"/>
              <w:right w:w="28" w:type="dxa"/>
            </w:tcMar>
            <w:vAlign w:val="center"/>
          </w:tcPr>
          <w:p>
            <w:pPr>
              <w:widowControl/>
              <w:spacing w:line="260" w:lineRule="exact"/>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26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1613" w:hRule="atLeast"/>
          <w:jc w:val="center"/>
        </w:trPr>
        <w:tc>
          <w:tcPr>
            <w:tcW w:w="1643" w:type="dxa"/>
            <w:vMerge w:val="restart"/>
            <w:tcMar>
              <w:left w:w="28" w:type="dxa"/>
              <w:right w:w="28" w:type="dxa"/>
            </w:tcMar>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化学与材料科学学院</w:t>
            </w:r>
          </w:p>
        </w:tc>
        <w:tc>
          <w:tcPr>
            <w:tcW w:w="1853"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课程与教学论（化学）</w:t>
            </w:r>
          </w:p>
        </w:tc>
        <w:tc>
          <w:tcPr>
            <w:tcW w:w="1490"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化学</w:t>
            </w:r>
          </w:p>
        </w:tc>
        <w:tc>
          <w:tcPr>
            <w:tcW w:w="1618"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化学教学论、化学教学技能研究与训练、现代教育技术（化学）、化学教学论实验</w:t>
            </w:r>
          </w:p>
        </w:tc>
        <w:tc>
          <w:tcPr>
            <w:tcW w:w="3682" w:type="dxa"/>
            <w:tcMar>
              <w:left w:w="28" w:type="dxa"/>
              <w:right w:w="28" w:type="dxa"/>
            </w:tcMar>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1.本科为化学专业（师范）背景、硕士为课程与教学论（化学）背景；2.能够承担课程与教学论（化学）方向的相关专业课、实验和实习的教学工作；3.有一定的科研成果。</w:t>
            </w: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709"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465" w:type="dxa"/>
            <w:vMerge w:val="restart"/>
            <w:tcMar>
              <w:left w:w="28" w:type="dxa"/>
              <w:right w:w="28" w:type="dxa"/>
            </w:tcMar>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4</w:t>
            </w:r>
          </w:p>
        </w:tc>
        <w:tc>
          <w:tcPr>
            <w:tcW w:w="2657" w:type="dxa"/>
            <w:vMerge w:val="restart"/>
            <w:tcMar>
              <w:left w:w="28" w:type="dxa"/>
              <w:right w:w="28" w:type="dxa"/>
            </w:tcMar>
            <w:vAlign w:val="center"/>
          </w:tcPr>
          <w:p>
            <w:pPr>
              <w:widowControl/>
              <w:spacing w:line="300" w:lineRule="exact"/>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高老师：0553--3937137</w:t>
            </w:r>
          </w:p>
          <w:p>
            <w:pPr>
              <w:widowControl/>
              <w:spacing w:line="300" w:lineRule="exact"/>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邮箱：fgao@mail.ahnu.edu.cn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1807" w:hRule="atLeast"/>
          <w:jc w:val="center"/>
        </w:trPr>
        <w:tc>
          <w:tcPr>
            <w:tcW w:w="1643"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应用化学</w:t>
            </w:r>
          </w:p>
        </w:tc>
        <w:tc>
          <w:tcPr>
            <w:tcW w:w="1490"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应用化学</w:t>
            </w:r>
          </w:p>
        </w:tc>
        <w:tc>
          <w:tcPr>
            <w:tcW w:w="1618"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工业催化、精细化工</w:t>
            </w:r>
          </w:p>
        </w:tc>
        <w:tc>
          <w:tcPr>
            <w:tcW w:w="3682" w:type="dxa"/>
            <w:tcMar>
              <w:left w:w="28" w:type="dxa"/>
              <w:right w:w="28" w:type="dxa"/>
            </w:tcMar>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年龄33岁以下；2.本科学历为化学工程或应用化学或工业催化；硕士阶段所学专业为催化相关或相近专业，博士阶段所学专业为工业催化；3.具有石油化工、能源催化或精细化工催化研究背景优先；4.有一定的科研成果。</w:t>
            </w: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709"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1082" w:hRule="atLeast"/>
          <w:jc w:val="center"/>
        </w:trPr>
        <w:tc>
          <w:tcPr>
            <w:tcW w:w="1643"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无机非金属材料、有机高分子材料、凝聚态物理学等</w:t>
            </w:r>
          </w:p>
        </w:tc>
        <w:tc>
          <w:tcPr>
            <w:tcW w:w="1490"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材料化学</w:t>
            </w:r>
          </w:p>
        </w:tc>
        <w:tc>
          <w:tcPr>
            <w:tcW w:w="1618"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无机非金属材料工学、高分子成型加工、工程力学等</w:t>
            </w:r>
          </w:p>
        </w:tc>
        <w:tc>
          <w:tcPr>
            <w:tcW w:w="3682" w:type="dxa"/>
            <w:tcMar>
              <w:left w:w="28" w:type="dxa"/>
              <w:right w:w="28" w:type="dxa"/>
            </w:tcMar>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1.年龄33岁以下；2.能胜任相关课程教学，且有较出色的科研成果，在相关领域国际重要期刊发表过3篇以上第一作者论文。</w:t>
            </w: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709"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1112" w:hRule="atLeast"/>
          <w:jc w:val="center"/>
        </w:trPr>
        <w:tc>
          <w:tcPr>
            <w:tcW w:w="1643"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化学工程与工艺</w:t>
            </w:r>
          </w:p>
        </w:tc>
        <w:tc>
          <w:tcPr>
            <w:tcW w:w="1490"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化学工程与工艺</w:t>
            </w:r>
          </w:p>
        </w:tc>
        <w:tc>
          <w:tcPr>
            <w:tcW w:w="1618"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化工设计、化工过程分析与合成、化工过程控制等</w:t>
            </w:r>
          </w:p>
        </w:tc>
        <w:tc>
          <w:tcPr>
            <w:tcW w:w="3682" w:type="dxa"/>
            <w:tcMar>
              <w:left w:w="28" w:type="dxa"/>
              <w:right w:w="28" w:type="dxa"/>
            </w:tcMar>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1.年龄33岁以下；2.本科或博士是化工专业毕业，具有工程背景优先。</w:t>
            </w: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709"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1288" w:hRule="atLeast"/>
          <w:jc w:val="center"/>
        </w:trPr>
        <w:tc>
          <w:tcPr>
            <w:tcW w:w="1643" w:type="dxa"/>
            <w:vMerge w:val="restart"/>
            <w:tcMar>
              <w:left w:w="28" w:type="dxa"/>
              <w:right w:w="28" w:type="dxa"/>
            </w:tcMar>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地理与旅游学院</w:t>
            </w:r>
          </w:p>
        </w:tc>
        <w:tc>
          <w:tcPr>
            <w:tcW w:w="1853"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金融学、产业经济学、统计学、数量经济学、人文地理等</w:t>
            </w:r>
          </w:p>
        </w:tc>
        <w:tc>
          <w:tcPr>
            <w:tcW w:w="1490"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酒店管理</w:t>
            </w:r>
          </w:p>
        </w:tc>
        <w:tc>
          <w:tcPr>
            <w:tcW w:w="1618"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酒店投资与成本控制、酒店运营与财务管理、收益管理、品牌管理等</w:t>
            </w:r>
          </w:p>
        </w:tc>
        <w:tc>
          <w:tcPr>
            <w:tcW w:w="3682" w:type="dxa"/>
            <w:tcMar>
              <w:left w:w="28" w:type="dxa"/>
              <w:right w:w="28" w:type="dxa"/>
            </w:tcMar>
            <w:vAlign w:val="center"/>
          </w:tcPr>
          <w:p>
            <w:pPr>
              <w:widowControl/>
              <w:jc w:val="left"/>
              <w:rPr>
                <w:rFonts w:ascii="仿宋_GB2312" w:hAnsi="宋体" w:eastAsia="仿宋_GB2312" w:cs="宋体"/>
                <w:color w:val="000000"/>
                <w:kern w:val="0"/>
                <w:sz w:val="20"/>
                <w:szCs w:val="20"/>
              </w:rPr>
            </w:pP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709"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465" w:type="dxa"/>
            <w:vMerge w:val="restart"/>
            <w:tcMar>
              <w:left w:w="28" w:type="dxa"/>
              <w:right w:w="28" w:type="dxa"/>
            </w:tcMar>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8</w:t>
            </w:r>
          </w:p>
        </w:tc>
        <w:tc>
          <w:tcPr>
            <w:tcW w:w="2657" w:type="dxa"/>
            <w:vMerge w:val="restart"/>
            <w:tcMar>
              <w:left w:w="28" w:type="dxa"/>
              <w:right w:w="28" w:type="dxa"/>
            </w:tcMar>
            <w:vAlign w:val="center"/>
          </w:tcPr>
          <w:p>
            <w:pPr>
              <w:widowControl/>
              <w:spacing w:line="300" w:lineRule="exact"/>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苏老师：0553--5910731</w:t>
            </w:r>
          </w:p>
          <w:p>
            <w:pPr>
              <w:widowControl/>
              <w:spacing w:line="300" w:lineRule="exact"/>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邮箱：ahsuqin@263.net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797" w:hRule="atLeast"/>
          <w:jc w:val="center"/>
        </w:trPr>
        <w:tc>
          <w:tcPr>
            <w:tcW w:w="1643"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土地资源管理</w:t>
            </w:r>
          </w:p>
        </w:tc>
        <w:tc>
          <w:tcPr>
            <w:tcW w:w="1490"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土地资源管理</w:t>
            </w:r>
          </w:p>
        </w:tc>
        <w:tc>
          <w:tcPr>
            <w:tcW w:w="1618"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公共管理与公共政策</w:t>
            </w:r>
          </w:p>
        </w:tc>
        <w:tc>
          <w:tcPr>
            <w:tcW w:w="3682" w:type="dxa"/>
            <w:tcMar>
              <w:left w:w="28" w:type="dxa"/>
              <w:right w:w="28" w:type="dxa"/>
            </w:tcMar>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本科土地资源管理专业，硕士和博士为公共管理类专业。</w:t>
            </w: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709"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540" w:hRule="atLeast"/>
          <w:jc w:val="center"/>
        </w:trPr>
        <w:tc>
          <w:tcPr>
            <w:tcW w:w="1643"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地图学与地理信息系统</w:t>
            </w:r>
          </w:p>
        </w:tc>
        <w:tc>
          <w:tcPr>
            <w:tcW w:w="1490"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地理信息科学</w:t>
            </w:r>
          </w:p>
        </w:tc>
        <w:tc>
          <w:tcPr>
            <w:tcW w:w="1618"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计算机图形学</w:t>
            </w:r>
          </w:p>
        </w:tc>
        <w:tc>
          <w:tcPr>
            <w:tcW w:w="3682" w:type="dxa"/>
            <w:tcMar>
              <w:left w:w="28" w:type="dxa"/>
              <w:right w:w="28" w:type="dxa"/>
            </w:tcMar>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本科GIS专业、计算机专业，硕士和博士为GIS专业。</w:t>
            </w: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709"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1686" w:hRule="atLeast"/>
          <w:jc w:val="center"/>
        </w:trPr>
        <w:tc>
          <w:tcPr>
            <w:tcW w:w="1643"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旅游管理</w:t>
            </w:r>
          </w:p>
        </w:tc>
        <w:tc>
          <w:tcPr>
            <w:tcW w:w="1490"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旅游管理</w:t>
            </w:r>
          </w:p>
        </w:tc>
        <w:tc>
          <w:tcPr>
            <w:tcW w:w="1618"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旅游目的地管理、旅游文化创意与策划、主题公园管理、会展管理</w:t>
            </w:r>
          </w:p>
        </w:tc>
        <w:tc>
          <w:tcPr>
            <w:tcW w:w="3682" w:type="dxa"/>
            <w:tcMar>
              <w:left w:w="28" w:type="dxa"/>
              <w:right w:w="28" w:type="dxa"/>
            </w:tcMar>
            <w:vAlign w:val="center"/>
          </w:tcPr>
          <w:p>
            <w:pPr>
              <w:widowControl/>
              <w:jc w:val="left"/>
              <w:rPr>
                <w:rFonts w:ascii="仿宋_GB2312" w:hAnsi="宋体" w:eastAsia="仿宋_GB2312" w:cs="宋体"/>
                <w:color w:val="000000"/>
                <w:kern w:val="0"/>
                <w:sz w:val="20"/>
                <w:szCs w:val="20"/>
              </w:rPr>
            </w:pP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709"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w:t>
            </w: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1534" w:hRule="atLeast"/>
          <w:jc w:val="center"/>
        </w:trPr>
        <w:tc>
          <w:tcPr>
            <w:tcW w:w="1643"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建筑设计</w:t>
            </w:r>
          </w:p>
        </w:tc>
        <w:tc>
          <w:tcPr>
            <w:tcW w:w="1490"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城乡规划</w:t>
            </w:r>
          </w:p>
        </w:tc>
        <w:tc>
          <w:tcPr>
            <w:tcW w:w="1618"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承担本科教学核心课程</w:t>
            </w:r>
          </w:p>
        </w:tc>
        <w:tc>
          <w:tcPr>
            <w:tcW w:w="3682" w:type="dxa"/>
            <w:tcMar>
              <w:left w:w="28" w:type="dxa"/>
              <w:right w:w="28" w:type="dxa"/>
            </w:tcMar>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交通运输及其相关专业优先；年度考核优秀；教学科研工作服从城乡教研室统筹安排，热心学院公共事务；有高校从教经历者且年龄放宽先。</w:t>
            </w: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09"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1797" w:hRule="atLeast"/>
          <w:jc w:val="center"/>
        </w:trPr>
        <w:tc>
          <w:tcPr>
            <w:tcW w:w="1643"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 城乡规划、 风景园林、交通运输工程等</w:t>
            </w:r>
          </w:p>
        </w:tc>
        <w:tc>
          <w:tcPr>
            <w:tcW w:w="1490"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城乡规划</w:t>
            </w:r>
          </w:p>
        </w:tc>
        <w:tc>
          <w:tcPr>
            <w:tcW w:w="1618"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城乡基础设施规划、城乡规划管理与法规、风景园林规划与设计、城乡道路与交通等</w:t>
            </w:r>
          </w:p>
        </w:tc>
        <w:tc>
          <w:tcPr>
            <w:tcW w:w="3682" w:type="dxa"/>
            <w:tcMar>
              <w:left w:w="28" w:type="dxa"/>
              <w:right w:w="28" w:type="dxa"/>
            </w:tcMar>
            <w:vAlign w:val="center"/>
          </w:tcPr>
          <w:p>
            <w:pPr>
              <w:widowControl/>
              <w:jc w:val="left"/>
              <w:rPr>
                <w:rFonts w:ascii="仿宋_GB2312" w:hAnsi="宋体" w:eastAsia="仿宋_GB2312" w:cs="宋体"/>
                <w:color w:val="000000"/>
                <w:kern w:val="0"/>
                <w:sz w:val="20"/>
                <w:szCs w:val="20"/>
              </w:rPr>
            </w:pP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09"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1057" w:hRule="atLeast"/>
          <w:jc w:val="center"/>
        </w:trPr>
        <w:tc>
          <w:tcPr>
            <w:tcW w:w="1643" w:type="dxa"/>
            <w:vMerge w:val="restart"/>
            <w:tcMar>
              <w:left w:w="28" w:type="dxa"/>
              <w:right w:w="28" w:type="dxa"/>
            </w:tcMar>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环境科学与工程学院</w:t>
            </w:r>
          </w:p>
        </w:tc>
        <w:tc>
          <w:tcPr>
            <w:tcW w:w="1853"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环境科学</w:t>
            </w:r>
          </w:p>
        </w:tc>
        <w:tc>
          <w:tcPr>
            <w:tcW w:w="1490"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环境科学</w:t>
            </w:r>
          </w:p>
        </w:tc>
        <w:tc>
          <w:tcPr>
            <w:tcW w:w="1618"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环境信息系统、工程制图、大气污染控制工程等</w:t>
            </w:r>
          </w:p>
        </w:tc>
        <w:tc>
          <w:tcPr>
            <w:tcW w:w="3682" w:type="dxa"/>
            <w:tcMar>
              <w:left w:w="28" w:type="dxa"/>
              <w:right w:w="28" w:type="dxa"/>
            </w:tcMar>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以第一作者发表环境类SCI研究论文2篇以上，累计影响因子不低于6.0；或有2篇JCR二区及以上论文；有海外学习经历者优先。</w:t>
            </w: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709"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465" w:type="dxa"/>
            <w:vMerge w:val="restart"/>
            <w:tcMar>
              <w:left w:w="28" w:type="dxa"/>
              <w:right w:w="28" w:type="dxa"/>
            </w:tcMar>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4</w:t>
            </w:r>
          </w:p>
        </w:tc>
        <w:tc>
          <w:tcPr>
            <w:tcW w:w="2657" w:type="dxa"/>
            <w:vMerge w:val="restart"/>
            <w:tcMar>
              <w:left w:w="28" w:type="dxa"/>
              <w:right w:w="28" w:type="dxa"/>
            </w:tcMar>
            <w:vAlign w:val="center"/>
          </w:tcPr>
          <w:p>
            <w:pPr>
              <w:widowControl/>
              <w:spacing w:line="300" w:lineRule="exact"/>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周老师：0553--5910721</w:t>
            </w:r>
          </w:p>
          <w:p>
            <w:pPr>
              <w:widowControl/>
              <w:spacing w:line="300" w:lineRule="exact"/>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邮箱：zhoushoubiao@vip.163.com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1321" w:hRule="atLeast"/>
          <w:jc w:val="center"/>
        </w:trPr>
        <w:tc>
          <w:tcPr>
            <w:tcW w:w="1643"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食品科学与工程</w:t>
            </w:r>
          </w:p>
        </w:tc>
        <w:tc>
          <w:tcPr>
            <w:tcW w:w="1490"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食品质量与安全</w:t>
            </w:r>
          </w:p>
        </w:tc>
        <w:tc>
          <w:tcPr>
            <w:tcW w:w="1618"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食品毒理学、食品分析与检验、食品保藏技术、食品微生物学等</w:t>
            </w:r>
          </w:p>
        </w:tc>
        <w:tc>
          <w:tcPr>
            <w:tcW w:w="3682" w:type="dxa"/>
            <w:tcMar>
              <w:left w:w="28" w:type="dxa"/>
              <w:right w:w="28" w:type="dxa"/>
            </w:tcMar>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以第一作者发表SCI源期刊论文2篇以上，累计影响因子5.0以上。</w:t>
            </w: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709"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w:t>
            </w: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1381" w:hRule="atLeast"/>
          <w:jc w:val="center"/>
        </w:trPr>
        <w:tc>
          <w:tcPr>
            <w:tcW w:w="1643"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1853"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食品科学与工程</w:t>
            </w:r>
          </w:p>
        </w:tc>
        <w:tc>
          <w:tcPr>
            <w:tcW w:w="1490"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食品科学与工程</w:t>
            </w:r>
          </w:p>
        </w:tc>
        <w:tc>
          <w:tcPr>
            <w:tcW w:w="1618"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食品工程原理、食品工艺学、食品工厂设计、食品机械与设备等</w:t>
            </w:r>
          </w:p>
        </w:tc>
        <w:tc>
          <w:tcPr>
            <w:tcW w:w="3682" w:type="dxa"/>
            <w:tcMar>
              <w:left w:w="28" w:type="dxa"/>
              <w:right w:w="28" w:type="dxa"/>
            </w:tcMar>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以第一作者发表SCI源期刊论文2篇以上，累计影响因子5.0以上。</w:t>
            </w: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709"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465" w:type="dxa"/>
            <w:vMerge w:val="continue"/>
            <w:tcMar>
              <w:left w:w="28" w:type="dxa"/>
              <w:right w:w="28" w:type="dxa"/>
            </w:tcMar>
            <w:vAlign w:val="center"/>
          </w:tcPr>
          <w:p>
            <w:pPr>
              <w:widowControl/>
              <w:jc w:val="left"/>
              <w:rPr>
                <w:rFonts w:ascii="仿宋" w:hAnsi="仿宋" w:eastAsia="仿宋" w:cs="宋体"/>
                <w:color w:val="000000"/>
                <w:kern w:val="0"/>
                <w:sz w:val="20"/>
                <w:szCs w:val="20"/>
              </w:rPr>
            </w:pPr>
          </w:p>
        </w:tc>
        <w:tc>
          <w:tcPr>
            <w:tcW w:w="2657" w:type="dxa"/>
            <w:vMerge w:val="continue"/>
            <w:tcMar>
              <w:left w:w="28" w:type="dxa"/>
              <w:right w:w="28" w:type="dxa"/>
            </w:tcMar>
            <w:vAlign w:val="center"/>
          </w:tcPr>
          <w:p>
            <w:pPr>
              <w:widowControl/>
              <w:spacing w:line="300" w:lineRule="exact"/>
              <w:jc w:val="left"/>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1033" w:hRule="atLeast"/>
          <w:jc w:val="center"/>
        </w:trPr>
        <w:tc>
          <w:tcPr>
            <w:tcW w:w="1643" w:type="dxa"/>
            <w:tcMar>
              <w:left w:w="28" w:type="dxa"/>
              <w:right w:w="28" w:type="dxa"/>
            </w:tcMar>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国际教育学院</w:t>
            </w:r>
          </w:p>
        </w:tc>
        <w:tc>
          <w:tcPr>
            <w:tcW w:w="1853" w:type="dxa"/>
            <w:tcMar>
              <w:left w:w="28" w:type="dxa"/>
              <w:right w:w="28" w:type="dxa"/>
            </w:tcMar>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语言学及应用语言学</w:t>
            </w:r>
          </w:p>
        </w:tc>
        <w:tc>
          <w:tcPr>
            <w:tcW w:w="1490"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汉语言（对外）</w:t>
            </w:r>
          </w:p>
        </w:tc>
        <w:tc>
          <w:tcPr>
            <w:tcW w:w="1618"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商务汉语、经贸口语、汉语精读、汉语听说、汉语阅读</w:t>
            </w:r>
          </w:p>
        </w:tc>
        <w:tc>
          <w:tcPr>
            <w:tcW w:w="3682" w:type="dxa"/>
            <w:tcMar>
              <w:left w:w="28" w:type="dxa"/>
              <w:right w:w="28" w:type="dxa"/>
            </w:tcMar>
            <w:vAlign w:val="center"/>
          </w:tcPr>
          <w:p>
            <w:pPr>
              <w:widowControl/>
              <w:jc w:val="left"/>
              <w:rPr>
                <w:rFonts w:ascii="仿宋_GB2312" w:hAnsi="宋体" w:eastAsia="仿宋_GB2312" w:cs="宋体"/>
                <w:color w:val="000000"/>
                <w:kern w:val="0"/>
                <w:sz w:val="20"/>
                <w:szCs w:val="20"/>
              </w:rPr>
            </w:pP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709"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465" w:type="dxa"/>
            <w:tcMar>
              <w:left w:w="28" w:type="dxa"/>
              <w:right w:w="28"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2657" w:type="dxa"/>
            <w:tcMar>
              <w:left w:w="28" w:type="dxa"/>
              <w:right w:w="28" w:type="dxa"/>
            </w:tcMar>
            <w:vAlign w:val="center"/>
          </w:tcPr>
          <w:p>
            <w:pPr>
              <w:widowControl/>
              <w:spacing w:line="300" w:lineRule="exact"/>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刘老师：0553--3869335</w:t>
            </w:r>
          </w:p>
          <w:p>
            <w:pPr>
              <w:widowControl/>
              <w:spacing w:line="300" w:lineRule="exact"/>
              <w:jc w:val="center"/>
              <w:rPr>
                <w:rFonts w:ascii="宋体" w:hAnsi="宋体" w:eastAsia="宋体" w:cs="宋体"/>
                <w:color w:val="000000"/>
                <w:kern w:val="0"/>
                <w:sz w:val="24"/>
                <w:szCs w:val="24"/>
              </w:rPr>
            </w:pPr>
            <w:r>
              <w:rPr>
                <w:rFonts w:hint="eastAsia" w:ascii="仿宋" w:hAnsi="仿宋" w:eastAsia="仿宋" w:cs="宋体"/>
                <w:color w:val="000000"/>
                <w:kern w:val="0"/>
                <w:sz w:val="20"/>
                <w:szCs w:val="20"/>
              </w:rPr>
              <w:t>邮箱：kzxyldh118l@163.com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540" w:hRule="atLeast"/>
          <w:jc w:val="center"/>
        </w:trPr>
        <w:tc>
          <w:tcPr>
            <w:tcW w:w="1643" w:type="dxa"/>
            <w:tcMar>
              <w:left w:w="28" w:type="dxa"/>
              <w:right w:w="28" w:type="dxa"/>
            </w:tcMar>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总计</w:t>
            </w:r>
          </w:p>
        </w:tc>
        <w:tc>
          <w:tcPr>
            <w:tcW w:w="1853"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1490"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1618" w:type="dxa"/>
            <w:tcMar>
              <w:left w:w="28" w:type="dxa"/>
              <w:right w:w="28" w:type="dxa"/>
            </w:tcMar>
            <w:vAlign w:val="center"/>
          </w:tcPr>
          <w:p>
            <w:pPr>
              <w:widowControl/>
              <w:jc w:val="center"/>
              <w:rPr>
                <w:rFonts w:ascii="仿宋_GB2312" w:hAnsi="宋体" w:eastAsia="仿宋_GB2312" w:cs="宋体"/>
                <w:color w:val="000000"/>
                <w:kern w:val="0"/>
                <w:sz w:val="20"/>
                <w:szCs w:val="20"/>
              </w:rPr>
            </w:pPr>
          </w:p>
        </w:tc>
        <w:tc>
          <w:tcPr>
            <w:tcW w:w="3682" w:type="dxa"/>
            <w:tcMar>
              <w:left w:w="28" w:type="dxa"/>
              <w:right w:w="28" w:type="dxa"/>
            </w:tcMar>
            <w:vAlign w:val="center"/>
          </w:tcPr>
          <w:p>
            <w:pPr>
              <w:widowControl/>
              <w:jc w:val="left"/>
              <w:rPr>
                <w:rFonts w:ascii="仿宋_GB2312" w:hAnsi="宋体" w:eastAsia="仿宋_GB2312" w:cs="宋体"/>
                <w:color w:val="000000"/>
                <w:kern w:val="0"/>
                <w:sz w:val="20"/>
                <w:szCs w:val="20"/>
              </w:rPr>
            </w:pPr>
          </w:p>
        </w:tc>
        <w:tc>
          <w:tcPr>
            <w:tcW w:w="567"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32</w:t>
            </w:r>
          </w:p>
        </w:tc>
        <w:tc>
          <w:tcPr>
            <w:tcW w:w="709"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77</w:t>
            </w:r>
          </w:p>
        </w:tc>
        <w:tc>
          <w:tcPr>
            <w:tcW w:w="465" w:type="dxa"/>
            <w:tcMar>
              <w:left w:w="28" w:type="dxa"/>
              <w:right w:w="28" w:type="dxa"/>
            </w:tcMar>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109</w:t>
            </w:r>
          </w:p>
        </w:tc>
        <w:tc>
          <w:tcPr>
            <w:tcW w:w="2657" w:type="dxa"/>
            <w:tcMar>
              <w:left w:w="28" w:type="dxa"/>
              <w:right w:w="28" w:type="dxa"/>
            </w:tcMar>
            <w:vAlign w:val="center"/>
          </w:tcPr>
          <w:p>
            <w:pPr>
              <w:widowControl/>
              <w:jc w:val="center"/>
              <w:rPr>
                <w:rFonts w:ascii="仿宋_GB2312" w:hAnsi="宋体" w:eastAsia="仿宋_GB2312" w:cs="宋体"/>
                <w:color w:val="000000"/>
                <w:kern w:val="0"/>
                <w:sz w:val="20"/>
                <w:szCs w:val="20"/>
              </w:rPr>
            </w:pPr>
          </w:p>
        </w:tc>
      </w:tr>
    </w:tbl>
    <w:p/>
    <w:p>
      <w:pPr>
        <w:widowControl/>
        <w:jc w:val="left"/>
      </w:pPr>
    </w:p>
    <w:sectPr>
      <w:pgSz w:w="16838" w:h="11906" w:orient="landscape"/>
      <w:pgMar w:top="1304" w:right="1440" w:bottom="124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905"/>
    <w:rsid w:val="00424907"/>
    <w:rsid w:val="0054451E"/>
    <w:rsid w:val="00755CB6"/>
    <w:rsid w:val="00967F29"/>
    <w:rsid w:val="00A95789"/>
    <w:rsid w:val="00AD1905"/>
    <w:rsid w:val="00C17A38"/>
    <w:rsid w:val="00CD6F2B"/>
    <w:rsid w:val="00D31C25"/>
    <w:rsid w:val="0ED72C47"/>
    <w:rsid w:val="12805BBC"/>
    <w:rsid w:val="138206EE"/>
    <w:rsid w:val="19B96B56"/>
    <w:rsid w:val="1E812820"/>
    <w:rsid w:val="29CD085F"/>
    <w:rsid w:val="7C0D7B40"/>
    <w:rsid w:val="7CAD337A"/>
    <w:rsid w:val="7FD660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1021</Words>
  <Characters>5824</Characters>
  <Lines>48</Lines>
  <Paragraphs>13</Paragraphs>
  <TotalTime>2</TotalTime>
  <ScaleCrop>false</ScaleCrop>
  <LinksUpToDate>false</LinksUpToDate>
  <CharactersWithSpaces>6832</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2018-12-11T08:11:00Z</dcterms:created>
  <dc:creator>Users</dc:creator>
  <cp:lastModifiedBy>人事科</cp:lastModifiedBy>
  <dcterms:modified xsi:type="dcterms:W3CDTF">2019-04-28T08:17:13Z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