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5869"/>
        <w:gridCol w:w="1871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560" w:lineRule="exact"/>
              <w:jc w:val="center"/>
              <w:textAlignment w:val="baseline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28"/>
                <w:shd w:val="clear" w:color="auto" w:fill="FFFFFF"/>
              </w:rPr>
              <w:t>成都工贸职业技术学院（成都市技师学院）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28"/>
                <w:shd w:val="clear" w:color="auto" w:fill="FFFFFF"/>
                <w:lang w:val="en-US" w:eastAsia="zh-CN"/>
              </w:rPr>
              <w:t>2024年</w:t>
            </w:r>
            <w:r>
              <w:rPr>
                <w:rFonts w:hint="default" w:ascii="Times New Roman" w:hAnsi="Times New Roman" w:eastAsia="方正小标宋简体" w:cs="Times New Roman"/>
                <w:sz w:val="36"/>
                <w:szCs w:val="28"/>
                <w:shd w:val="clear" w:color="auto" w:fill="FFFFFF"/>
              </w:rPr>
              <w:t>高层次人才引进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28"/>
                <w:shd w:val="clear" w:color="auto" w:fill="FFFFFF"/>
                <w:lang w:val="en-US" w:eastAsia="zh-CN"/>
              </w:rPr>
              <w:t>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数控技术专业带头人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0802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）相关专业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电子信息类专业教师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电子科学与技术（080702）、信息与通信工程（硕士0810）、计算机科学与技术（080901）、控制科学与工程（硕士0811）、软件工程（080902）、集成电路科学与工程（硕士1401）相关专业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正高级职称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博士研究生无职称要求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城市轨道交通通信信号技术专业教师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交通信息工程及控制（082302）、通信与信息系统（081001）相关专业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副教授及以上职称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博士研究生无职称要求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新能源汽车专业教师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机械工程（0802）、交通运输工程（0823）相关专业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（研究方向为新能源汽车相关）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工业互联网应用专业教师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信息与通信工程（0810）、工业设计工程（085507）、机械电子工程（080202）相关专业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博士学历学位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思想政治理论课专业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5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马克思主义理论0305、哲学0101、法学0301、政治学0302、中国史0602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副教授及以上职称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博士研究生无职称要求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8072755</wp:posOffset>
          </wp:positionH>
          <wp:positionV relativeFrom="paragraph">
            <wp:posOffset>-39370</wp:posOffset>
          </wp:positionV>
          <wp:extent cx="1335405" cy="361315"/>
          <wp:effectExtent l="0" t="0" r="17145" b="635"/>
          <wp:wrapNone/>
          <wp:docPr id="2" name="图片 2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40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E066E19"/>
    <w:rsid w:val="0E066E19"/>
    <w:rsid w:val="36E8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2024-02-28T07:03:00Z</dcterms:created>
  <dc:creator>A__の小胖纸·双</dc:creator>
  <cp:lastModifiedBy>A__の小胖纸·双</cp:lastModifiedBy>
  <dcterms:modified xsi:type="dcterms:W3CDTF">2024-02-28T07:13:09Z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53BF627557894EA789DEEBD1814CEBA0_11</vt:lpwstr>
  </property>
</Properties>
</file>